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7AE68" w14:textId="77777777" w:rsidR="00D7445D" w:rsidRDefault="006D3C2B">
      <w:pPr>
        <w:spacing w:after="56"/>
        <w:ind w:left="337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DCA8D45" w14:textId="77777777" w:rsidR="00D7445D" w:rsidRDefault="006D3C2B">
      <w:pPr>
        <w:spacing w:after="71"/>
        <w:ind w:left="3734"/>
      </w:pPr>
      <w:r>
        <w:rPr>
          <w:noProof/>
        </w:rPr>
        <w:drawing>
          <wp:inline distT="0" distB="0" distL="0" distR="0" wp14:anchorId="11070ECE" wp14:editId="56CFAC95">
            <wp:extent cx="1379220" cy="139954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A6078" w14:textId="77777777" w:rsidR="00D7445D" w:rsidRDefault="006D3C2B">
      <w:pPr>
        <w:spacing w:after="1"/>
        <w:ind w:right="10"/>
        <w:jc w:val="center"/>
      </w:pPr>
      <w:r>
        <w:rPr>
          <w:rFonts w:ascii="Arial" w:eastAsia="Arial" w:hAnsi="Arial" w:cs="Arial"/>
          <w:b/>
          <w:sz w:val="44"/>
        </w:rPr>
        <w:t xml:space="preserve"> </w:t>
      </w:r>
    </w:p>
    <w:p w14:paraId="23738B40" w14:textId="77777777" w:rsidR="00D7445D" w:rsidRDefault="006D3C2B">
      <w:pPr>
        <w:spacing w:after="0"/>
        <w:ind w:right="136"/>
        <w:jc w:val="center"/>
      </w:pPr>
      <w:r>
        <w:rPr>
          <w:rFonts w:ascii="Arial" w:eastAsia="Arial" w:hAnsi="Arial" w:cs="Arial"/>
          <w:b/>
          <w:sz w:val="44"/>
        </w:rPr>
        <w:t xml:space="preserve">FOOD AND DRUGS AUTHORITY </w:t>
      </w:r>
      <w:r>
        <w:rPr>
          <w:sz w:val="34"/>
          <w:vertAlign w:val="subscript"/>
        </w:rPr>
        <w:t xml:space="preserve"> </w:t>
      </w:r>
    </w:p>
    <w:p w14:paraId="22B1DDCF" w14:textId="77777777" w:rsidR="00D7445D" w:rsidRDefault="006D3C2B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44"/>
        </w:rPr>
        <w:t xml:space="preserve"> </w:t>
      </w:r>
      <w:r>
        <w:t xml:space="preserve"> </w:t>
      </w:r>
    </w:p>
    <w:p w14:paraId="1C971396" w14:textId="77777777" w:rsidR="00D7445D" w:rsidRDefault="006D3C2B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44"/>
        </w:rPr>
        <w:t xml:space="preserve"> </w:t>
      </w:r>
      <w:r>
        <w:t xml:space="preserve"> </w:t>
      </w:r>
    </w:p>
    <w:p w14:paraId="6AD71C9C" w14:textId="77777777" w:rsidR="00D7445D" w:rsidRDefault="006D3C2B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44"/>
        </w:rPr>
        <w:t xml:space="preserve"> </w:t>
      </w:r>
      <w:r>
        <w:t xml:space="preserve"> </w:t>
      </w:r>
    </w:p>
    <w:p w14:paraId="59717293" w14:textId="77777777" w:rsidR="00D7445D" w:rsidRDefault="006D3C2B">
      <w:pPr>
        <w:spacing w:after="20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70454C70" w14:textId="77777777" w:rsidR="00D7445D" w:rsidRDefault="006D3C2B">
      <w:pPr>
        <w:spacing w:after="214"/>
        <w:ind w:left="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D925921" w14:textId="77777777" w:rsidR="00D7445D" w:rsidRDefault="006D3C2B">
      <w:pPr>
        <w:spacing w:after="0" w:line="247" w:lineRule="auto"/>
        <w:ind w:left="4299" w:hanging="3853"/>
      </w:pPr>
      <w:r>
        <w:rPr>
          <w:rFonts w:ascii="Arial" w:eastAsia="Arial" w:hAnsi="Arial" w:cs="Arial"/>
          <w:b/>
          <w:sz w:val="36"/>
        </w:rPr>
        <w:t xml:space="preserve">GUIDELINES FOR REGISTRATION OF AN </w:t>
      </w:r>
      <w:proofErr w:type="gramStart"/>
      <w:r>
        <w:rPr>
          <w:rFonts w:ascii="Arial" w:eastAsia="Arial" w:hAnsi="Arial" w:cs="Arial"/>
          <w:b/>
          <w:sz w:val="36"/>
        </w:rPr>
        <w:t xml:space="preserve">ORPHAN </w:t>
      </w:r>
      <w:r>
        <w:rPr>
          <w:sz w:val="36"/>
          <w:vertAlign w:val="subscript"/>
        </w:rPr>
        <w:t xml:space="preserve"> </w:t>
      </w:r>
      <w:r>
        <w:rPr>
          <w:rFonts w:ascii="Arial" w:eastAsia="Arial" w:hAnsi="Arial" w:cs="Arial"/>
          <w:b/>
          <w:sz w:val="36"/>
        </w:rPr>
        <w:t>DRUG</w:t>
      </w:r>
      <w:proofErr w:type="gramEnd"/>
      <w:r>
        <w:rPr>
          <w:rFonts w:ascii="Arial" w:eastAsia="Arial" w:hAnsi="Arial" w:cs="Arial"/>
          <w:b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627204F4" w14:textId="77777777" w:rsidR="00D7445D" w:rsidRDefault="006D3C2B">
      <w:pPr>
        <w:spacing w:after="0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4B34E6CC" w14:textId="77777777" w:rsidR="00D7445D" w:rsidRDefault="006D3C2B">
      <w:pPr>
        <w:spacing w:after="21"/>
        <w:ind w:left="2"/>
      </w:pPr>
      <w:r>
        <w:t xml:space="preserve"> </w:t>
      </w:r>
    </w:p>
    <w:p w14:paraId="4786F800" w14:textId="77777777" w:rsidR="00D7445D" w:rsidRDefault="006D3C2B">
      <w:pPr>
        <w:spacing w:after="20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FE4F450" w14:textId="77777777" w:rsidR="00D7445D" w:rsidRDefault="006D3C2B">
      <w:pPr>
        <w:spacing w:after="17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D7D7283" w14:textId="77777777" w:rsidR="00D7445D" w:rsidRDefault="006D3C2B">
      <w:pPr>
        <w:spacing w:after="20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409ED013" w14:textId="77777777" w:rsidR="00D7445D" w:rsidRDefault="006D3C2B">
      <w:pPr>
        <w:spacing w:after="12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7A1437E" w14:textId="77777777" w:rsidR="00D7445D" w:rsidRDefault="006D3C2B">
      <w:pPr>
        <w:tabs>
          <w:tab w:val="center" w:pos="2174"/>
          <w:tab w:val="center" w:pos="4504"/>
        </w:tabs>
        <w:spacing w:after="144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Document No.: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FDA/DRI/DER/GL-INP/2019/16 </w:t>
      </w:r>
      <w:r>
        <w:t xml:space="preserve"> </w:t>
      </w:r>
    </w:p>
    <w:p w14:paraId="70A70366" w14:textId="77777777" w:rsidR="00D7445D" w:rsidRDefault="006D3C2B">
      <w:pPr>
        <w:tabs>
          <w:tab w:val="center" w:pos="3693"/>
        </w:tabs>
        <w:spacing w:after="149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Date of First Adoption: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>15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March 2019 </w:t>
      </w:r>
      <w:r>
        <w:t xml:space="preserve"> </w:t>
      </w:r>
    </w:p>
    <w:p w14:paraId="523A5CF6" w14:textId="77777777" w:rsidR="00D7445D" w:rsidRDefault="006D3C2B">
      <w:pPr>
        <w:tabs>
          <w:tab w:val="center" w:pos="2174"/>
          <w:tab w:val="center" w:pos="3693"/>
        </w:tabs>
        <w:spacing w:after="149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Date of Issue: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March 2019 </w:t>
      </w:r>
      <w:r>
        <w:t xml:space="preserve"> </w:t>
      </w:r>
    </w:p>
    <w:p w14:paraId="240D1B6A" w14:textId="77777777" w:rsidR="00D7445D" w:rsidRDefault="006D3C2B">
      <w:pPr>
        <w:tabs>
          <w:tab w:val="center" w:pos="2174"/>
          <w:tab w:val="center" w:pos="3015"/>
        </w:tabs>
        <w:spacing w:after="769" w:line="265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Version No.: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01 </w:t>
      </w:r>
      <w:r>
        <w:t xml:space="preserve"> </w:t>
      </w:r>
    </w:p>
    <w:p w14:paraId="25E18761" w14:textId="77777777" w:rsidR="00D7445D" w:rsidRDefault="006D3C2B">
      <w:pPr>
        <w:spacing w:after="14"/>
        <w:ind w:left="21"/>
        <w:jc w:val="center"/>
      </w:pPr>
      <w:r>
        <w:t xml:space="preserve">  </w:t>
      </w:r>
    </w:p>
    <w:p w14:paraId="58134DDB" w14:textId="77777777" w:rsidR="00D7445D" w:rsidRDefault="006D3C2B">
      <w:pPr>
        <w:spacing w:after="95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9EBE8B" w14:textId="77777777" w:rsidR="00D7445D" w:rsidRDefault="006D3C2B">
      <w:pPr>
        <w:spacing w:after="96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00E198" w14:textId="77777777" w:rsidR="00D7445D" w:rsidRDefault="006D3C2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DB4AE0" w14:textId="77777777" w:rsidR="00D7445D" w:rsidRDefault="006D3C2B">
      <w:pPr>
        <w:spacing w:after="810" w:line="416" w:lineRule="auto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FDA/DRI/DER/GL-INP/2019/16 </w:t>
      </w:r>
      <w:r>
        <w:t xml:space="preserve"> </w:t>
      </w:r>
    </w:p>
    <w:p w14:paraId="63D4583A" w14:textId="77777777" w:rsidR="00D7445D" w:rsidRDefault="006D3C2B">
      <w:pPr>
        <w:pStyle w:val="Heading1"/>
        <w:ind w:left="-5"/>
      </w:pPr>
      <w:r>
        <w:lastRenderedPageBreak/>
        <w:t xml:space="preserve">TABLE OF CONTENTS  </w:t>
      </w:r>
    </w:p>
    <w:p w14:paraId="644995A4" w14:textId="77777777" w:rsidR="00D7445D" w:rsidRDefault="006D3C2B">
      <w:pPr>
        <w:spacing w:after="168" w:line="265" w:lineRule="auto"/>
        <w:ind w:left="-3" w:hanging="10"/>
      </w:pPr>
      <w:r>
        <w:rPr>
          <w:rFonts w:ascii="Arial" w:eastAsia="Arial" w:hAnsi="Arial" w:cs="Arial"/>
          <w:b/>
        </w:rPr>
        <w:t>1.0.</w:t>
      </w:r>
      <w:r>
        <w:t xml:space="preserve">  </w:t>
      </w:r>
      <w:r>
        <w:rPr>
          <w:rFonts w:ascii="Arial" w:eastAsia="Arial" w:hAnsi="Arial" w:cs="Arial"/>
          <w:b/>
        </w:rPr>
        <w:t>INTRODUCTION</w:t>
      </w:r>
      <w:r>
        <w:t xml:space="preserve"> ................................................................................................................................. 1  </w:t>
      </w:r>
    </w:p>
    <w:p w14:paraId="75FE95FB" w14:textId="77777777" w:rsidR="00D7445D" w:rsidRDefault="006D3C2B">
      <w:pPr>
        <w:tabs>
          <w:tab w:val="right" w:pos="9786"/>
        </w:tabs>
        <w:spacing w:after="168" w:line="265" w:lineRule="auto"/>
        <w:ind w:left="-13"/>
      </w:pPr>
      <w:r>
        <w:t xml:space="preserve"> </w:t>
      </w:r>
      <w:r>
        <w:rPr>
          <w:rFonts w:ascii="Arial" w:eastAsia="Arial" w:hAnsi="Arial" w:cs="Arial"/>
          <w:b/>
        </w:rPr>
        <w:t>1.1.</w:t>
      </w:r>
      <w:r>
        <w:t xml:space="preserve">  </w:t>
      </w:r>
      <w:r>
        <w:tab/>
      </w:r>
      <w:r>
        <w:rPr>
          <w:rFonts w:ascii="Arial" w:eastAsia="Arial" w:hAnsi="Arial" w:cs="Arial"/>
          <w:b/>
        </w:rPr>
        <w:t>SCOPE</w:t>
      </w:r>
      <w:r>
        <w:t xml:space="preserve">.............................................................................................................................................. 1  </w:t>
      </w:r>
    </w:p>
    <w:p w14:paraId="42CCC37B" w14:textId="77777777" w:rsidR="00D7445D" w:rsidRDefault="006D3C2B">
      <w:pPr>
        <w:tabs>
          <w:tab w:val="right" w:pos="9786"/>
        </w:tabs>
        <w:spacing w:after="168" w:line="265" w:lineRule="auto"/>
        <w:ind w:left="-13"/>
      </w:pPr>
      <w:r>
        <w:rPr>
          <w:rFonts w:ascii="Arial" w:eastAsia="Arial" w:hAnsi="Arial" w:cs="Arial"/>
          <w:b/>
        </w:rPr>
        <w:t>2.0.</w:t>
      </w:r>
      <w:r>
        <w:t xml:space="preserve">  </w:t>
      </w:r>
      <w:r>
        <w:tab/>
      </w:r>
      <w:r>
        <w:rPr>
          <w:rFonts w:ascii="Arial" w:eastAsia="Arial" w:hAnsi="Arial" w:cs="Arial"/>
          <w:b/>
        </w:rPr>
        <w:t>GLOSSARY</w:t>
      </w:r>
      <w:r>
        <w:t xml:space="preserve"> .................................................................................</w:t>
      </w:r>
      <w:r>
        <w:t xml:space="preserve">........................................................ 1  </w:t>
      </w:r>
    </w:p>
    <w:p w14:paraId="447424EB" w14:textId="77777777" w:rsidR="00D7445D" w:rsidRDefault="006D3C2B">
      <w:pPr>
        <w:spacing w:after="168" w:line="265" w:lineRule="auto"/>
        <w:ind w:left="-3" w:hanging="10"/>
      </w:pPr>
      <w:r>
        <w:rPr>
          <w:rFonts w:ascii="Arial" w:eastAsia="Arial" w:hAnsi="Arial" w:cs="Arial"/>
          <w:b/>
        </w:rPr>
        <w:t>3.0.</w:t>
      </w:r>
      <w:r>
        <w:t xml:space="preserve">  </w:t>
      </w:r>
      <w:r>
        <w:rPr>
          <w:rFonts w:ascii="Arial" w:eastAsia="Arial" w:hAnsi="Arial" w:cs="Arial"/>
          <w:b/>
        </w:rPr>
        <w:t>REQUIREMENTS FOR REGISTRATION</w:t>
      </w:r>
      <w:r>
        <w:t xml:space="preserve"> ....................................................................................... 1  </w:t>
      </w:r>
    </w:p>
    <w:p w14:paraId="36B9200A" w14:textId="77777777" w:rsidR="00D7445D" w:rsidRDefault="006D3C2B">
      <w:pPr>
        <w:tabs>
          <w:tab w:val="right" w:pos="9786"/>
        </w:tabs>
        <w:spacing w:after="168" w:line="265" w:lineRule="auto"/>
        <w:ind w:left="-13"/>
      </w:pPr>
      <w:r>
        <w:rPr>
          <w:rFonts w:ascii="Arial" w:eastAsia="Arial" w:hAnsi="Arial" w:cs="Arial"/>
          <w:b/>
        </w:rPr>
        <w:t>4.0.</w:t>
      </w:r>
      <w:r>
        <w:t xml:space="preserve">  </w:t>
      </w:r>
      <w:r>
        <w:tab/>
      </w:r>
      <w:r>
        <w:rPr>
          <w:rFonts w:ascii="Arial" w:eastAsia="Arial" w:hAnsi="Arial" w:cs="Arial"/>
          <w:b/>
        </w:rPr>
        <w:t>CRITERIA FOR ORPHAN DRUG CLASSIFICATION</w:t>
      </w:r>
      <w:r>
        <w:t xml:space="preserve"> ....................</w:t>
      </w:r>
      <w:r>
        <w:t xml:space="preserve">............................................. 2  </w:t>
      </w:r>
    </w:p>
    <w:p w14:paraId="770F0336" w14:textId="77777777" w:rsidR="00D7445D" w:rsidRDefault="006D3C2B">
      <w:pPr>
        <w:tabs>
          <w:tab w:val="right" w:pos="9786"/>
        </w:tabs>
        <w:spacing w:after="456" w:line="265" w:lineRule="auto"/>
        <w:ind w:left="-13"/>
      </w:pPr>
      <w:r>
        <w:rPr>
          <w:rFonts w:ascii="Arial" w:eastAsia="Arial" w:hAnsi="Arial" w:cs="Arial"/>
          <w:b/>
        </w:rPr>
        <w:t>5.0.</w:t>
      </w:r>
      <w:r>
        <w:t xml:space="preserve">  </w:t>
      </w:r>
      <w:r>
        <w:tab/>
      </w:r>
      <w:r>
        <w:rPr>
          <w:rFonts w:ascii="Arial" w:eastAsia="Arial" w:hAnsi="Arial" w:cs="Arial"/>
          <w:b/>
        </w:rPr>
        <w:t>TIMELINES FOR REGISTRATION</w:t>
      </w:r>
      <w:r>
        <w:t xml:space="preserve"> ................................................................................................. 2  </w:t>
      </w:r>
    </w:p>
    <w:p w14:paraId="15FB17D2" w14:textId="77777777" w:rsidR="00D7445D" w:rsidRDefault="006D3C2B">
      <w:pPr>
        <w:spacing w:after="456" w:line="265" w:lineRule="auto"/>
        <w:ind w:left="-3" w:hanging="10"/>
      </w:pPr>
      <w:proofErr w:type="spellStart"/>
      <w:r>
        <w:t>i</w:t>
      </w:r>
      <w:proofErr w:type="spellEnd"/>
      <w:r>
        <w:t xml:space="preserve">  </w:t>
      </w:r>
    </w:p>
    <w:p w14:paraId="5CCD87AA" w14:textId="77777777" w:rsidR="00D7445D" w:rsidRDefault="006D3C2B">
      <w:pPr>
        <w:spacing w:after="616" w:line="416" w:lineRule="auto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FDA/DRI/DER/GL-INP/2019/16 </w:t>
      </w:r>
      <w:r>
        <w:t xml:space="preserve"> </w:t>
      </w:r>
    </w:p>
    <w:p w14:paraId="53DA5D52" w14:textId="77777777" w:rsidR="00D7445D" w:rsidRDefault="006D3C2B">
      <w:pPr>
        <w:spacing w:after="27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7B3B0773" w14:textId="77777777" w:rsidR="00D7445D" w:rsidRDefault="006D3C2B">
      <w:pPr>
        <w:pStyle w:val="Heading1"/>
        <w:ind w:left="-5"/>
      </w:pPr>
      <w:r>
        <w:t xml:space="preserve">1.0.   INTRODUCTION  </w:t>
      </w:r>
    </w:p>
    <w:p w14:paraId="2299BFDD" w14:textId="77777777" w:rsidR="00D7445D" w:rsidRDefault="006D3C2B">
      <w:pPr>
        <w:spacing w:after="260" w:line="265" w:lineRule="auto"/>
        <w:ind w:left="24" w:right="75" w:hanging="10"/>
      </w:pPr>
      <w:r>
        <w:rPr>
          <w:rFonts w:ascii="Arial" w:eastAsia="Arial" w:hAnsi="Arial" w:cs="Arial"/>
          <w:sz w:val="24"/>
        </w:rPr>
        <w:t>The Food and</w:t>
      </w:r>
      <w:r>
        <w:rPr>
          <w:rFonts w:ascii="Arial" w:eastAsia="Arial" w:hAnsi="Arial" w:cs="Arial"/>
          <w:sz w:val="24"/>
        </w:rPr>
        <w:t xml:space="preserve"> Drugs Authority recognizes the need for granting special status to a drug to treat a rare disease or condition upon request of an applicant.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7F624923" w14:textId="77777777" w:rsidR="00D7445D" w:rsidRDefault="006D3C2B">
      <w:pPr>
        <w:pStyle w:val="Heading1"/>
        <w:spacing w:after="26"/>
        <w:ind w:left="-5"/>
      </w:pPr>
      <w:r>
        <w:t xml:space="preserve">1.1.  SCOPE  </w:t>
      </w:r>
    </w:p>
    <w:p w14:paraId="789CCB55" w14:textId="77777777" w:rsidR="00D7445D" w:rsidRDefault="006D3C2B">
      <w:pPr>
        <w:spacing w:after="260" w:line="265" w:lineRule="auto"/>
        <w:ind w:left="24" w:right="75" w:hanging="10"/>
      </w:pPr>
      <w:r>
        <w:rPr>
          <w:rFonts w:ascii="Arial" w:eastAsia="Arial" w:hAnsi="Arial" w:cs="Arial"/>
          <w:sz w:val="24"/>
        </w:rPr>
        <w:t xml:space="preserve">These guidelines apply to category of products classified as orphan drugs, documentation to be submitted and timelines. </w:t>
      </w:r>
      <w:r>
        <w:t xml:space="preserve"> </w:t>
      </w:r>
    </w:p>
    <w:p w14:paraId="32317364" w14:textId="77777777" w:rsidR="00D7445D" w:rsidRDefault="006D3C2B">
      <w:pPr>
        <w:pStyle w:val="Heading1"/>
        <w:ind w:left="-5"/>
      </w:pPr>
      <w:r>
        <w:t xml:space="preserve">2.0.   GLOSSARY  </w:t>
      </w:r>
    </w:p>
    <w:p w14:paraId="2E249261" w14:textId="77777777" w:rsidR="00D7445D" w:rsidRDefault="006D3C2B">
      <w:pPr>
        <w:spacing w:after="267"/>
        <w:ind w:left="-5" w:hanging="10"/>
      </w:pPr>
      <w:r>
        <w:rPr>
          <w:rFonts w:ascii="Arial" w:eastAsia="Arial" w:hAnsi="Arial" w:cs="Arial"/>
          <w:b/>
          <w:sz w:val="24"/>
        </w:rPr>
        <w:t xml:space="preserve">An Orphan drug is: </w:t>
      </w:r>
      <w:r>
        <w:t xml:space="preserve"> </w:t>
      </w:r>
    </w:p>
    <w:p w14:paraId="4C105EEA" w14:textId="77777777" w:rsidR="00D7445D" w:rsidRDefault="006D3C2B">
      <w:pPr>
        <w:numPr>
          <w:ilvl w:val="0"/>
          <w:numId w:val="1"/>
        </w:numPr>
        <w:spacing w:after="25" w:line="265" w:lineRule="auto"/>
        <w:ind w:right="75" w:hanging="360"/>
      </w:pPr>
      <w:r>
        <w:rPr>
          <w:rFonts w:ascii="Arial" w:eastAsia="Arial" w:hAnsi="Arial" w:cs="Arial"/>
          <w:sz w:val="24"/>
        </w:rPr>
        <w:t xml:space="preserve">A pharmaceutical product which remains commercially undeveloped due to low commercial returns, or </w:t>
      </w:r>
      <w:r>
        <w:t xml:space="preserve"> </w:t>
      </w:r>
    </w:p>
    <w:p w14:paraId="2B162262" w14:textId="77777777" w:rsidR="00D7445D" w:rsidRDefault="006D3C2B">
      <w:pPr>
        <w:spacing w:after="31"/>
        <w:ind w:left="43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B31C83F" w14:textId="77777777" w:rsidR="00D7445D" w:rsidRDefault="006D3C2B">
      <w:pPr>
        <w:numPr>
          <w:ilvl w:val="0"/>
          <w:numId w:val="1"/>
        </w:numPr>
        <w:spacing w:after="25" w:line="265" w:lineRule="auto"/>
        <w:ind w:right="75" w:hanging="360"/>
      </w:pPr>
      <w:r>
        <w:rPr>
          <w:rFonts w:ascii="Arial" w:eastAsia="Arial" w:hAnsi="Arial" w:cs="Arial"/>
          <w:sz w:val="24"/>
        </w:rPr>
        <w:t xml:space="preserve">A drug intended for the safe and effective treatment, diagnosis or prevention of rare diseases/disorders, or </w:t>
      </w:r>
      <w:r>
        <w:t xml:space="preserve"> </w:t>
      </w:r>
    </w:p>
    <w:p w14:paraId="0FDBC6AC" w14:textId="77777777" w:rsidR="00D7445D" w:rsidRDefault="006D3C2B">
      <w:pPr>
        <w:spacing w:after="33"/>
        <w:ind w:left="43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7D616748" w14:textId="77777777" w:rsidR="00D7445D" w:rsidRDefault="006D3C2B">
      <w:pPr>
        <w:numPr>
          <w:ilvl w:val="0"/>
          <w:numId w:val="1"/>
        </w:numPr>
        <w:spacing w:after="279" w:line="265" w:lineRule="auto"/>
        <w:ind w:right="75" w:hanging="360"/>
      </w:pPr>
      <w:r>
        <w:rPr>
          <w:rFonts w:ascii="Arial" w:eastAsia="Arial" w:hAnsi="Arial" w:cs="Arial"/>
          <w:sz w:val="24"/>
        </w:rPr>
        <w:t>Drugs intended to treat rare diseases t</w:t>
      </w:r>
      <w:r>
        <w:rPr>
          <w:rFonts w:ascii="Arial" w:eastAsia="Arial" w:hAnsi="Arial" w:cs="Arial"/>
          <w:sz w:val="24"/>
        </w:rPr>
        <w:t xml:space="preserve">hat the sponsors are reluctant to develop them under usual marketing conditions. </w:t>
      </w:r>
      <w:r>
        <w:t xml:space="preserve"> </w:t>
      </w:r>
    </w:p>
    <w:p w14:paraId="1CC43B35" w14:textId="77777777" w:rsidR="00D7445D" w:rsidRDefault="006D3C2B">
      <w:pPr>
        <w:spacing w:after="259" w:line="265" w:lineRule="auto"/>
        <w:ind w:left="24" w:right="75" w:hanging="10"/>
      </w:pPr>
      <w:r>
        <w:rPr>
          <w:rFonts w:ascii="Arial" w:eastAsia="Arial" w:hAnsi="Arial" w:cs="Arial"/>
          <w:b/>
          <w:sz w:val="24"/>
        </w:rPr>
        <w:t xml:space="preserve">“A Rare Disease” </w:t>
      </w:r>
      <w:r>
        <w:rPr>
          <w:rFonts w:ascii="Arial" w:eastAsia="Arial" w:hAnsi="Arial" w:cs="Arial"/>
          <w:sz w:val="24"/>
        </w:rPr>
        <w:t xml:space="preserve">means a disease condition which occurs in a small percentage of the population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F201215" w14:textId="77777777" w:rsidR="00D7445D" w:rsidRDefault="006D3C2B">
      <w:pPr>
        <w:pStyle w:val="Heading1"/>
        <w:ind w:left="-5"/>
      </w:pPr>
      <w:r>
        <w:lastRenderedPageBreak/>
        <w:t xml:space="preserve">3.0.   REQUIREMENTS FOR REGISTRATION  </w:t>
      </w:r>
    </w:p>
    <w:p w14:paraId="7C628172" w14:textId="77777777" w:rsidR="00D7445D" w:rsidRDefault="006D3C2B">
      <w:pPr>
        <w:spacing w:after="262" w:line="265" w:lineRule="auto"/>
        <w:ind w:left="24" w:right="75" w:hanging="10"/>
      </w:pPr>
      <w:r>
        <w:rPr>
          <w:rFonts w:ascii="Arial" w:eastAsia="Arial" w:hAnsi="Arial" w:cs="Arial"/>
          <w:sz w:val="24"/>
        </w:rPr>
        <w:t>The following should be submitted f</w:t>
      </w:r>
      <w:r>
        <w:rPr>
          <w:rFonts w:ascii="Arial" w:eastAsia="Arial" w:hAnsi="Arial" w:cs="Arial"/>
          <w:sz w:val="24"/>
        </w:rPr>
        <w:t>or the registration of Orphan Drugs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A0D001A" w14:textId="77777777" w:rsidR="00D7445D" w:rsidRDefault="006D3C2B">
      <w:pPr>
        <w:numPr>
          <w:ilvl w:val="0"/>
          <w:numId w:val="2"/>
        </w:numPr>
        <w:spacing w:after="25" w:line="265" w:lineRule="auto"/>
        <w:ind w:right="75" w:hanging="360"/>
      </w:pPr>
      <w:r>
        <w:rPr>
          <w:rFonts w:ascii="Arial" w:eastAsia="Arial" w:hAnsi="Arial" w:cs="Arial"/>
          <w:sz w:val="24"/>
        </w:rPr>
        <w:t xml:space="preserve">A covering letter from the local representative </w:t>
      </w:r>
      <w:r>
        <w:t xml:space="preserve"> </w:t>
      </w:r>
    </w:p>
    <w:p w14:paraId="0FC9D1DF" w14:textId="77777777" w:rsidR="00D7445D" w:rsidRDefault="006D3C2B">
      <w:pPr>
        <w:spacing w:after="43"/>
        <w:ind w:left="734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t xml:space="preserve"> </w:t>
      </w:r>
    </w:p>
    <w:p w14:paraId="4C85051E" w14:textId="77777777" w:rsidR="00D7445D" w:rsidRDefault="006D3C2B">
      <w:pPr>
        <w:numPr>
          <w:ilvl w:val="0"/>
          <w:numId w:val="2"/>
        </w:numPr>
        <w:spacing w:after="25" w:line="265" w:lineRule="auto"/>
        <w:ind w:right="75" w:hanging="360"/>
      </w:pPr>
      <w:r>
        <w:rPr>
          <w:rFonts w:ascii="Arial" w:eastAsia="Arial" w:hAnsi="Arial" w:cs="Arial"/>
          <w:sz w:val="24"/>
        </w:rPr>
        <w:t xml:space="preserve">A completed FDA application form for the registration of allopathic medicines (please refer to the FDA website www.fdaghana.gov.gh).  </w:t>
      </w:r>
      <w:r>
        <w:t xml:space="preserve"> </w:t>
      </w:r>
    </w:p>
    <w:p w14:paraId="26223714" w14:textId="77777777" w:rsidR="00D7445D" w:rsidRDefault="006D3C2B">
      <w:pPr>
        <w:spacing w:after="115"/>
        <w:ind w:left="73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9A7B251" w14:textId="77777777" w:rsidR="00D7445D" w:rsidRDefault="006D3C2B">
      <w:pPr>
        <w:numPr>
          <w:ilvl w:val="0"/>
          <w:numId w:val="2"/>
        </w:numPr>
        <w:spacing w:after="25" w:line="265" w:lineRule="auto"/>
        <w:ind w:right="75" w:hanging="360"/>
      </w:pPr>
      <w:r>
        <w:rPr>
          <w:rFonts w:ascii="Arial" w:eastAsia="Arial" w:hAnsi="Arial" w:cs="Arial"/>
          <w:sz w:val="24"/>
        </w:rPr>
        <w:t xml:space="preserve">Samples of the product as per the FDA’s sample schedule. </w:t>
      </w:r>
      <w:r>
        <w:t xml:space="preserve"> </w:t>
      </w:r>
    </w:p>
    <w:p w14:paraId="01707BCF" w14:textId="77777777" w:rsidR="00D7445D" w:rsidRDefault="006D3C2B">
      <w:pPr>
        <w:spacing w:after="31"/>
        <w:ind w:left="73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34A7862" w14:textId="77777777" w:rsidR="00D7445D" w:rsidRDefault="006D3C2B">
      <w:pPr>
        <w:numPr>
          <w:ilvl w:val="0"/>
          <w:numId w:val="2"/>
        </w:numPr>
        <w:spacing w:after="25" w:line="265" w:lineRule="auto"/>
        <w:ind w:right="75" w:hanging="360"/>
      </w:pPr>
      <w:r>
        <w:rPr>
          <w:rFonts w:ascii="Arial" w:eastAsia="Arial" w:hAnsi="Arial" w:cs="Arial"/>
          <w:sz w:val="24"/>
        </w:rPr>
        <w:t xml:space="preserve">Pay the requisite application fee (Please refer to the FDA website www.fdaghana.gov.gh) </w:t>
      </w:r>
      <w:r>
        <w:t xml:space="preserve"> </w:t>
      </w:r>
    </w:p>
    <w:p w14:paraId="6AF92CAE" w14:textId="77777777" w:rsidR="00D7445D" w:rsidRDefault="006D3C2B">
      <w:pPr>
        <w:spacing w:after="447"/>
        <w:ind w:right="126"/>
        <w:jc w:val="center"/>
      </w:pPr>
      <w:r>
        <w:t xml:space="preserve">Page </w:t>
      </w:r>
      <w:r>
        <w:rPr>
          <w:b/>
          <w:sz w:val="24"/>
        </w:rPr>
        <w:t>1</w:t>
      </w:r>
      <w:r>
        <w:t xml:space="preserve"> of </w:t>
      </w:r>
      <w:r>
        <w:rPr>
          <w:b/>
          <w:sz w:val="24"/>
        </w:rPr>
        <w:t>2</w:t>
      </w:r>
      <w:r>
        <w:t xml:space="preserve">  </w:t>
      </w:r>
    </w:p>
    <w:p w14:paraId="7433F5C9" w14:textId="77777777" w:rsidR="00D7445D" w:rsidRDefault="006D3C2B">
      <w:pPr>
        <w:spacing w:after="431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FDA/DRI/DER/GL-INP/2019/16</w:t>
      </w:r>
      <w:r>
        <w:t xml:space="preserve">  </w:t>
      </w:r>
    </w:p>
    <w:p w14:paraId="0869137D" w14:textId="77777777" w:rsidR="00D7445D" w:rsidRDefault="006D3C2B">
      <w:pPr>
        <w:pStyle w:val="Heading1"/>
        <w:ind w:left="-5"/>
      </w:pPr>
      <w:r>
        <w:t xml:space="preserve">4.0.   CRITERIA FOR ORPHAN DRUG CLASSIFICATION  </w:t>
      </w:r>
    </w:p>
    <w:p w14:paraId="421D5270" w14:textId="77777777" w:rsidR="00D7445D" w:rsidRDefault="006D3C2B">
      <w:pPr>
        <w:numPr>
          <w:ilvl w:val="0"/>
          <w:numId w:val="3"/>
        </w:numPr>
        <w:spacing w:after="25" w:line="265" w:lineRule="auto"/>
        <w:ind w:right="75" w:hanging="360"/>
      </w:pPr>
      <w:r>
        <w:rPr>
          <w:rFonts w:ascii="Arial" w:eastAsia="Arial" w:hAnsi="Arial" w:cs="Arial"/>
          <w:sz w:val="24"/>
        </w:rPr>
        <w:t xml:space="preserve">The drug should fall under conditions in the above definition. </w:t>
      </w:r>
      <w:r>
        <w:t xml:space="preserve"> </w:t>
      </w:r>
    </w:p>
    <w:p w14:paraId="79F07D15" w14:textId="77777777" w:rsidR="00D7445D" w:rsidRDefault="006D3C2B">
      <w:pPr>
        <w:spacing w:after="33"/>
        <w:ind w:left="734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19FB8C23" w14:textId="77777777" w:rsidR="00D7445D" w:rsidRDefault="006D3C2B">
      <w:pPr>
        <w:numPr>
          <w:ilvl w:val="0"/>
          <w:numId w:val="3"/>
        </w:numPr>
        <w:spacing w:after="260" w:line="265" w:lineRule="auto"/>
        <w:ind w:right="75" w:hanging="360"/>
      </w:pPr>
      <w:r>
        <w:rPr>
          <w:rFonts w:ascii="Arial" w:eastAsia="Arial" w:hAnsi="Arial" w:cs="Arial"/>
          <w:sz w:val="24"/>
        </w:rPr>
        <w:t xml:space="preserve">If a product is registered through the normal registration, application for orphan drug status by another applicant will be considered if applicant is able to prove </w:t>
      </w:r>
      <w:proofErr w:type="spellStart"/>
      <w:r>
        <w:rPr>
          <w:rFonts w:ascii="Arial" w:eastAsia="Arial" w:hAnsi="Arial" w:cs="Arial"/>
          <w:sz w:val="24"/>
        </w:rPr>
        <w:t>nonavailability</w:t>
      </w:r>
      <w:proofErr w:type="spellEnd"/>
      <w:r>
        <w:rPr>
          <w:rFonts w:ascii="Arial" w:eastAsia="Arial" w:hAnsi="Arial" w:cs="Arial"/>
          <w:sz w:val="24"/>
        </w:rPr>
        <w:t xml:space="preserve"> and meet orphan drug criteria. </w:t>
      </w:r>
      <w:r>
        <w:t xml:space="preserve"> </w:t>
      </w:r>
    </w:p>
    <w:p w14:paraId="623BD7C8" w14:textId="77777777" w:rsidR="00D7445D" w:rsidRDefault="006D3C2B">
      <w:pPr>
        <w:pStyle w:val="Heading1"/>
        <w:ind w:left="-5"/>
      </w:pPr>
      <w:r>
        <w:t xml:space="preserve">5.0.  TIMELINES FOR REGISTRATION  </w:t>
      </w:r>
    </w:p>
    <w:p w14:paraId="2CD1EEEC" w14:textId="77777777" w:rsidR="00D7445D" w:rsidRDefault="006D3C2B">
      <w:pPr>
        <w:spacing w:after="265" w:line="265" w:lineRule="auto"/>
        <w:ind w:left="24" w:right="75" w:hanging="10"/>
      </w:pPr>
      <w:r>
        <w:rPr>
          <w:rFonts w:ascii="Arial" w:eastAsia="Arial" w:hAnsi="Arial" w:cs="Arial"/>
          <w:sz w:val="24"/>
        </w:rPr>
        <w:t>Applica</w:t>
      </w:r>
      <w:r>
        <w:rPr>
          <w:rFonts w:ascii="Arial" w:eastAsia="Arial" w:hAnsi="Arial" w:cs="Arial"/>
          <w:sz w:val="24"/>
        </w:rPr>
        <w:t xml:space="preserve">tions under this category shall have a decision made within three (3) months of submission. </w:t>
      </w:r>
      <w:r>
        <w:t xml:space="preserve"> </w:t>
      </w:r>
    </w:p>
    <w:p w14:paraId="0CC7905B" w14:textId="77777777" w:rsidR="00D7445D" w:rsidRDefault="006D3C2B">
      <w:pPr>
        <w:spacing w:after="3" w:line="292" w:lineRule="auto"/>
        <w:ind w:left="14" w:right="9655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5EF9A482" w14:textId="77777777" w:rsidR="00D7445D" w:rsidRDefault="006D3C2B">
      <w:pPr>
        <w:spacing w:after="3" w:line="292" w:lineRule="auto"/>
        <w:ind w:left="14" w:right="9655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A290AEF" w14:textId="77777777" w:rsidR="00D7445D" w:rsidRDefault="006D3C2B">
      <w:pPr>
        <w:spacing w:after="0" w:line="293" w:lineRule="auto"/>
        <w:ind w:left="14" w:right="9655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3954865" w14:textId="77777777" w:rsidR="00D7445D" w:rsidRDefault="006D3C2B">
      <w:pPr>
        <w:spacing w:after="168" w:line="265" w:lineRule="auto"/>
        <w:ind w:left="4335" w:hanging="10"/>
      </w:pPr>
      <w:r>
        <w:t xml:space="preserve">Page </w:t>
      </w:r>
      <w:r>
        <w:rPr>
          <w:b/>
          <w:sz w:val="24"/>
        </w:rPr>
        <w:t>2</w:t>
      </w:r>
      <w:r>
        <w:t xml:space="preserve"> of </w:t>
      </w:r>
      <w:r>
        <w:rPr>
          <w:b/>
          <w:sz w:val="24"/>
        </w:rPr>
        <w:t>2</w:t>
      </w:r>
      <w:r>
        <w:t xml:space="preserve">  </w:t>
      </w:r>
    </w:p>
    <w:sectPr w:rsidR="00D7445D">
      <w:pgSz w:w="12240" w:h="15840"/>
      <w:pgMar w:top="740" w:right="1028" w:bottom="1445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07043"/>
    <w:multiLevelType w:val="hybridMultilevel"/>
    <w:tmpl w:val="340404E4"/>
    <w:lvl w:ilvl="0" w:tplc="EDD0D7EE">
      <w:start w:val="1"/>
      <w:numFmt w:val="lowerLetter"/>
      <w:lvlText w:val="(%1)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898A6">
      <w:start w:val="1"/>
      <w:numFmt w:val="lowerLetter"/>
      <w:lvlText w:val="%2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ACA84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EE784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879B8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08062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2FB32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44078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EA3A6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C7D5F"/>
    <w:multiLevelType w:val="hybridMultilevel"/>
    <w:tmpl w:val="EA76725C"/>
    <w:lvl w:ilvl="0" w:tplc="907C6A0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00A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4F3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471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3F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05BA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C1F3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414E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CBB8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27799A"/>
    <w:multiLevelType w:val="hybridMultilevel"/>
    <w:tmpl w:val="ACD04606"/>
    <w:lvl w:ilvl="0" w:tplc="A0FC53B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CAB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64B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4FA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CCF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AD4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8457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01F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64D7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5D"/>
    <w:rsid w:val="006D3C2B"/>
    <w:rsid w:val="00D7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5773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7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DER02</dc:creator>
  <cp:keywords/>
  <cp:lastModifiedBy>samuel fahren otoo</cp:lastModifiedBy>
  <cp:revision>2</cp:revision>
  <dcterms:created xsi:type="dcterms:W3CDTF">2020-04-05T16:28:00Z</dcterms:created>
  <dcterms:modified xsi:type="dcterms:W3CDTF">2020-04-05T16:28:00Z</dcterms:modified>
</cp:coreProperties>
</file>