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453C" w14:textId="77777777" w:rsidR="00D25587" w:rsidRDefault="000B6CBD">
      <w:pPr>
        <w:spacing w:after="148" w:line="259" w:lineRule="auto"/>
        <w:ind w:left="14" w:firstLine="0"/>
      </w:pPr>
      <w:r>
        <w:t xml:space="preserve"> </w:t>
      </w:r>
    </w:p>
    <w:p w14:paraId="0C99D6F5" w14:textId="77777777" w:rsidR="00D25587" w:rsidRDefault="000B6CBD">
      <w:pPr>
        <w:spacing w:after="0" w:line="259" w:lineRule="auto"/>
        <w:ind w:left="3314" w:firstLine="0"/>
      </w:pPr>
      <w:r>
        <w:rPr>
          <w:rFonts w:ascii="Calibri" w:eastAsia="Calibri" w:hAnsi="Calibri" w:cs="Calibri"/>
          <w:noProof/>
          <w:sz w:val="22"/>
        </w:rPr>
        <mc:AlternateContent>
          <mc:Choice Requires="wpg">
            <w:drawing>
              <wp:inline distT="0" distB="0" distL="0" distR="0" wp14:anchorId="134317CA" wp14:editId="0FF464F2">
                <wp:extent cx="1379220" cy="1484249"/>
                <wp:effectExtent l="0" t="0" r="0" b="0"/>
                <wp:docPr id="3677" name="Group 3677"/>
                <wp:cNvGraphicFramePr/>
                <a:graphic xmlns:a="http://schemas.openxmlformats.org/drawingml/2006/main">
                  <a:graphicData uri="http://schemas.microsoft.com/office/word/2010/wordprocessingGroup">
                    <wpg:wgp>
                      <wpg:cNvGrpSpPr/>
                      <wpg:grpSpPr>
                        <a:xfrm>
                          <a:off x="0" y="0"/>
                          <a:ext cx="1379220" cy="1484249"/>
                          <a:chOff x="0" y="0"/>
                          <a:chExt cx="1379220" cy="1484249"/>
                        </a:xfrm>
                      </wpg:grpSpPr>
                      <wps:wsp>
                        <wps:cNvPr id="8" name="Rectangle 8"/>
                        <wps:cNvSpPr/>
                        <wps:spPr>
                          <a:xfrm>
                            <a:off x="18923" y="0"/>
                            <a:ext cx="56314" cy="226002"/>
                          </a:xfrm>
                          <a:prstGeom prst="rect">
                            <a:avLst/>
                          </a:prstGeom>
                          <a:ln>
                            <a:noFill/>
                          </a:ln>
                        </wps:spPr>
                        <wps:txbx>
                          <w:txbxContent>
                            <w:p w14:paraId="0BEAC738" w14:textId="77777777" w:rsidR="00D25587" w:rsidRDefault="000B6CB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7"/>
                          <a:stretch>
                            <a:fillRect/>
                          </a:stretch>
                        </pic:blipFill>
                        <pic:spPr>
                          <a:xfrm>
                            <a:off x="0" y="84709"/>
                            <a:ext cx="1379220" cy="1399540"/>
                          </a:xfrm>
                          <a:prstGeom prst="rect">
                            <a:avLst/>
                          </a:prstGeom>
                        </pic:spPr>
                      </pic:pic>
                    </wpg:wgp>
                  </a:graphicData>
                </a:graphic>
              </wp:inline>
            </w:drawing>
          </mc:Choice>
          <mc:Fallback xmlns:a="http://schemas.openxmlformats.org/drawingml/2006/main">
            <w:pict>
              <v:group id="Group 3677" style="width:108.6pt;height:116.87pt;mso-position-horizontal-relative:char;mso-position-vertical-relative:line" coordsize="13792,14842">
                <v:rect id="Rectangle 8" style="position:absolute;width:563;height:2260;left:189;top:0;" filled="f" stroked="f">
                  <v:textbox inset="0,0,0,0">
                    <w:txbxContent>
                      <w:p>
                        <w:pPr>
                          <w:spacing w:before="0" w:after="160" w:line="259" w:lineRule="auto"/>
                          <w:ind w:left="0" w:firstLine="0"/>
                        </w:pPr>
                        <w:r>
                          <w:rPr/>
                          <w:t xml:space="preserve"> </w:t>
                        </w:r>
                      </w:p>
                    </w:txbxContent>
                  </v:textbox>
                </v:rect>
                <v:shape id="Picture 56" style="position:absolute;width:13792;height:13995;left:0;top:847;" filled="f">
                  <v:imagedata r:id="rId10"/>
                </v:shape>
              </v:group>
            </w:pict>
          </mc:Fallback>
        </mc:AlternateContent>
      </w:r>
    </w:p>
    <w:p w14:paraId="04D82569" w14:textId="77777777" w:rsidR="00D25587" w:rsidRDefault="000B6CBD">
      <w:pPr>
        <w:spacing w:after="3" w:line="259" w:lineRule="auto"/>
        <w:ind w:left="3314" w:right="868" w:firstLine="0"/>
        <w:jc w:val="right"/>
      </w:pPr>
      <w:r>
        <w:rPr>
          <w:b/>
          <w:sz w:val="48"/>
        </w:rPr>
        <w:t xml:space="preserve"> </w:t>
      </w:r>
    </w:p>
    <w:p w14:paraId="731FEDA8" w14:textId="77777777" w:rsidR="00D25587" w:rsidRDefault="000B6CBD">
      <w:pPr>
        <w:spacing w:after="0" w:line="259" w:lineRule="auto"/>
        <w:ind w:left="0" w:right="1005" w:firstLine="0"/>
        <w:jc w:val="right"/>
      </w:pPr>
      <w:r>
        <w:rPr>
          <w:b/>
          <w:sz w:val="48"/>
        </w:rPr>
        <w:t>FOOD AND DRUGS AUTHORITY</w:t>
      </w:r>
      <w:r>
        <w:t xml:space="preserve"> </w:t>
      </w:r>
    </w:p>
    <w:p w14:paraId="2AED2EEF" w14:textId="77777777" w:rsidR="00D25587" w:rsidRDefault="000B6CBD">
      <w:pPr>
        <w:spacing w:after="158" w:line="259" w:lineRule="auto"/>
        <w:ind w:left="14" w:firstLine="0"/>
      </w:pPr>
      <w:r>
        <w:rPr>
          <w:b/>
        </w:rPr>
        <w:t xml:space="preserve"> </w:t>
      </w:r>
      <w:r>
        <w:t xml:space="preserve"> </w:t>
      </w:r>
    </w:p>
    <w:p w14:paraId="682E45B0" w14:textId="77777777" w:rsidR="00D25587" w:rsidRDefault="000B6CBD">
      <w:pPr>
        <w:spacing w:after="387" w:line="259" w:lineRule="auto"/>
        <w:ind w:left="14" w:firstLine="0"/>
      </w:pPr>
      <w:r>
        <w:rPr>
          <w:b/>
        </w:rPr>
        <w:t xml:space="preserve"> </w:t>
      </w:r>
      <w:r>
        <w:t xml:space="preserve"> </w:t>
      </w:r>
    </w:p>
    <w:p w14:paraId="523459FC" w14:textId="77777777" w:rsidR="00D25587" w:rsidRDefault="000B6CBD">
      <w:pPr>
        <w:spacing w:after="0" w:line="259" w:lineRule="auto"/>
        <w:ind w:right="1222"/>
        <w:jc w:val="right"/>
      </w:pPr>
      <w:r>
        <w:rPr>
          <w:b/>
          <w:sz w:val="36"/>
        </w:rPr>
        <w:t xml:space="preserve">GUIDELINES FOR THE CANCELLATION/ </w:t>
      </w:r>
      <w:r>
        <w:rPr>
          <w:sz w:val="36"/>
          <w:vertAlign w:val="subscript"/>
        </w:rPr>
        <w:t xml:space="preserve"> </w:t>
      </w:r>
    </w:p>
    <w:p w14:paraId="3D6D0BB6" w14:textId="77777777" w:rsidR="00D25587" w:rsidRDefault="000B6CBD">
      <w:pPr>
        <w:spacing w:after="0" w:line="259" w:lineRule="auto"/>
        <w:ind w:right="1222"/>
        <w:jc w:val="right"/>
      </w:pPr>
      <w:r>
        <w:rPr>
          <w:b/>
          <w:sz w:val="36"/>
        </w:rPr>
        <w:t xml:space="preserve">SUSPENSION OF A REGISTERED DRUG </w:t>
      </w:r>
      <w:r>
        <w:rPr>
          <w:sz w:val="36"/>
          <w:vertAlign w:val="subscript"/>
        </w:rPr>
        <w:t xml:space="preserve"> </w:t>
      </w:r>
    </w:p>
    <w:p w14:paraId="1B6725ED" w14:textId="77777777" w:rsidR="00D25587" w:rsidRDefault="000B6CBD">
      <w:pPr>
        <w:spacing w:after="160" w:line="259" w:lineRule="auto"/>
        <w:ind w:left="217" w:firstLine="0"/>
        <w:jc w:val="center"/>
      </w:pPr>
      <w:r>
        <w:rPr>
          <w:b/>
        </w:rPr>
        <w:t xml:space="preserve"> </w:t>
      </w:r>
      <w:r>
        <w:t xml:space="preserve"> </w:t>
      </w:r>
    </w:p>
    <w:p w14:paraId="5F26C2A6" w14:textId="77777777" w:rsidR="00D25587" w:rsidRDefault="000B6CBD">
      <w:pPr>
        <w:spacing w:after="158" w:line="259" w:lineRule="auto"/>
        <w:ind w:left="217" w:firstLine="0"/>
        <w:jc w:val="center"/>
      </w:pPr>
      <w:r>
        <w:rPr>
          <w:b/>
        </w:rPr>
        <w:t xml:space="preserve"> </w:t>
      </w:r>
      <w:r>
        <w:t xml:space="preserve"> </w:t>
      </w:r>
    </w:p>
    <w:p w14:paraId="6D063411" w14:textId="77777777" w:rsidR="00D25587" w:rsidRDefault="000B6CBD">
      <w:pPr>
        <w:spacing w:after="158" w:line="259" w:lineRule="auto"/>
        <w:ind w:left="14" w:firstLine="0"/>
      </w:pPr>
      <w:r>
        <w:rPr>
          <w:b/>
        </w:rPr>
        <w:t xml:space="preserve"> </w:t>
      </w:r>
      <w:r>
        <w:t xml:space="preserve"> </w:t>
      </w:r>
    </w:p>
    <w:p w14:paraId="2208613F" w14:textId="77777777" w:rsidR="00D25587" w:rsidRDefault="000B6CBD">
      <w:pPr>
        <w:spacing w:after="161" w:line="259" w:lineRule="auto"/>
        <w:ind w:left="14" w:firstLine="0"/>
      </w:pPr>
      <w:r>
        <w:rPr>
          <w:b/>
        </w:rPr>
        <w:t xml:space="preserve"> </w:t>
      </w:r>
      <w:r>
        <w:t xml:space="preserve"> </w:t>
      </w:r>
    </w:p>
    <w:p w14:paraId="3687651C" w14:textId="77777777" w:rsidR="00D25587" w:rsidRDefault="000B6CBD">
      <w:pPr>
        <w:spacing w:after="160" w:line="259" w:lineRule="auto"/>
        <w:ind w:left="14" w:firstLine="0"/>
      </w:pPr>
      <w:r>
        <w:rPr>
          <w:b/>
        </w:rPr>
        <w:t xml:space="preserve"> </w:t>
      </w:r>
      <w:r>
        <w:t xml:space="preserve"> </w:t>
      </w:r>
    </w:p>
    <w:p w14:paraId="033EB7FF" w14:textId="77777777" w:rsidR="00D25587" w:rsidRDefault="000B6CBD">
      <w:pPr>
        <w:spacing w:after="160" w:line="259" w:lineRule="auto"/>
        <w:ind w:left="14" w:firstLine="0"/>
      </w:pPr>
      <w:r>
        <w:rPr>
          <w:b/>
        </w:rPr>
        <w:t xml:space="preserve"> </w:t>
      </w:r>
      <w:r>
        <w:t xml:space="preserve"> </w:t>
      </w:r>
    </w:p>
    <w:p w14:paraId="1825566E" w14:textId="77777777" w:rsidR="00D25587" w:rsidRDefault="000B6CBD">
      <w:pPr>
        <w:spacing w:after="158" w:line="259" w:lineRule="auto"/>
        <w:ind w:left="14" w:firstLine="0"/>
      </w:pPr>
      <w:r>
        <w:rPr>
          <w:b/>
        </w:rPr>
        <w:t xml:space="preserve"> </w:t>
      </w:r>
      <w:r>
        <w:t xml:space="preserve"> </w:t>
      </w:r>
    </w:p>
    <w:p w14:paraId="6B71748E" w14:textId="77777777" w:rsidR="00D25587" w:rsidRDefault="000B6CBD">
      <w:pPr>
        <w:spacing w:after="160" w:line="259" w:lineRule="auto"/>
        <w:ind w:left="14" w:firstLine="0"/>
      </w:pPr>
      <w:r>
        <w:rPr>
          <w:b/>
        </w:rPr>
        <w:t xml:space="preserve"> </w:t>
      </w:r>
      <w:r>
        <w:t xml:space="preserve"> </w:t>
      </w:r>
    </w:p>
    <w:p w14:paraId="7A915E13" w14:textId="77777777" w:rsidR="00D25587" w:rsidRDefault="000B6CBD">
      <w:pPr>
        <w:spacing w:after="158" w:line="259" w:lineRule="auto"/>
        <w:ind w:left="14" w:firstLine="0"/>
      </w:pPr>
      <w:r>
        <w:rPr>
          <w:b/>
        </w:rPr>
        <w:t xml:space="preserve"> </w:t>
      </w:r>
      <w:r>
        <w:t xml:space="preserve"> </w:t>
      </w:r>
    </w:p>
    <w:p w14:paraId="35D2EDB9" w14:textId="77777777" w:rsidR="00D25587" w:rsidRDefault="000B6CBD">
      <w:pPr>
        <w:spacing w:after="160" w:line="259" w:lineRule="auto"/>
        <w:ind w:left="14" w:firstLine="0"/>
      </w:pPr>
      <w:r>
        <w:rPr>
          <w:b/>
        </w:rPr>
        <w:t xml:space="preserve"> </w:t>
      </w:r>
    </w:p>
    <w:p w14:paraId="77F69E8E" w14:textId="77777777" w:rsidR="00D25587" w:rsidRDefault="000B6CBD">
      <w:pPr>
        <w:spacing w:after="161" w:line="259" w:lineRule="auto"/>
        <w:ind w:left="14" w:firstLine="0"/>
      </w:pPr>
      <w:r>
        <w:rPr>
          <w:b/>
        </w:rPr>
        <w:t xml:space="preserve"> </w:t>
      </w:r>
    </w:p>
    <w:p w14:paraId="4B2DB14F" w14:textId="77777777" w:rsidR="00D25587" w:rsidRDefault="000B6CBD">
      <w:pPr>
        <w:spacing w:after="160" w:line="259" w:lineRule="auto"/>
        <w:ind w:left="14" w:firstLine="0"/>
      </w:pPr>
      <w:r>
        <w:rPr>
          <w:b/>
        </w:rPr>
        <w:t xml:space="preserve"> </w:t>
      </w:r>
    </w:p>
    <w:p w14:paraId="32F80A21" w14:textId="77777777" w:rsidR="00D25587" w:rsidRDefault="000B6CBD">
      <w:pPr>
        <w:spacing w:after="158" w:line="259" w:lineRule="auto"/>
        <w:ind w:left="14" w:firstLine="0"/>
      </w:pPr>
      <w:r>
        <w:rPr>
          <w:b/>
        </w:rPr>
        <w:t xml:space="preserve"> </w:t>
      </w:r>
    </w:p>
    <w:p w14:paraId="70A95313" w14:textId="77777777" w:rsidR="00D25587" w:rsidRDefault="000B6CBD">
      <w:pPr>
        <w:spacing w:after="160" w:line="259" w:lineRule="auto"/>
        <w:ind w:left="14" w:firstLine="0"/>
      </w:pPr>
      <w:r>
        <w:rPr>
          <w:b/>
        </w:rPr>
        <w:t xml:space="preserve"> </w:t>
      </w:r>
    </w:p>
    <w:p w14:paraId="2AE4FDDC" w14:textId="77777777" w:rsidR="00D25587" w:rsidRDefault="000B6CBD">
      <w:pPr>
        <w:spacing w:after="160" w:line="259" w:lineRule="auto"/>
        <w:ind w:left="14" w:firstLine="0"/>
      </w:pPr>
      <w:r>
        <w:rPr>
          <w:b/>
        </w:rPr>
        <w:t xml:space="preserve"> </w:t>
      </w:r>
    </w:p>
    <w:p w14:paraId="2DEBA170" w14:textId="77777777" w:rsidR="00D25587" w:rsidRDefault="000B6CBD">
      <w:pPr>
        <w:spacing w:after="160" w:line="259" w:lineRule="auto"/>
        <w:ind w:left="14" w:firstLine="0"/>
      </w:pPr>
      <w:r>
        <w:rPr>
          <w:b/>
        </w:rPr>
        <w:t xml:space="preserve"> </w:t>
      </w:r>
    </w:p>
    <w:p w14:paraId="439D0839" w14:textId="77777777" w:rsidR="00D25587" w:rsidRDefault="000B6CBD">
      <w:pPr>
        <w:spacing w:after="144" w:line="259" w:lineRule="auto"/>
        <w:ind w:left="14" w:firstLine="0"/>
      </w:pPr>
      <w:r>
        <w:rPr>
          <w:b/>
        </w:rPr>
        <w:lastRenderedPageBreak/>
        <w:t xml:space="preserve"> </w:t>
      </w:r>
    </w:p>
    <w:p w14:paraId="7A5157EF" w14:textId="77777777" w:rsidR="00D25587" w:rsidRDefault="000B6CBD">
      <w:pPr>
        <w:spacing w:after="0" w:line="259" w:lineRule="auto"/>
        <w:ind w:left="14" w:firstLine="0"/>
      </w:pPr>
      <w:r>
        <w:t xml:space="preserve"> </w:t>
      </w:r>
    </w:p>
    <w:p w14:paraId="1DA754E0" w14:textId="77777777" w:rsidR="00D25587" w:rsidRDefault="000B6CBD">
      <w:pPr>
        <w:spacing w:after="412" w:line="262" w:lineRule="auto"/>
        <w:ind w:right="14"/>
        <w:jc w:val="right"/>
      </w:pPr>
      <w:r>
        <w:t xml:space="preserve">FDA/DRI/DER/GL-CSM/2019/11  </w:t>
      </w:r>
    </w:p>
    <w:p w14:paraId="376FE254" w14:textId="77777777" w:rsidR="00D25587" w:rsidRDefault="000B6CBD">
      <w:pPr>
        <w:spacing w:after="160" w:line="259" w:lineRule="auto"/>
        <w:ind w:left="14" w:firstLine="0"/>
      </w:pPr>
      <w:r>
        <w:rPr>
          <w:b/>
        </w:rPr>
        <w:t xml:space="preserve"> </w:t>
      </w:r>
    </w:p>
    <w:p w14:paraId="5A4A78E5" w14:textId="77777777" w:rsidR="00D25587" w:rsidRDefault="000B6CBD">
      <w:pPr>
        <w:tabs>
          <w:tab w:val="center" w:pos="4629"/>
        </w:tabs>
        <w:spacing w:after="161"/>
        <w:ind w:left="0" w:firstLine="0"/>
      </w:pPr>
      <w:r>
        <w:rPr>
          <w:b/>
        </w:rPr>
        <w:t xml:space="preserve"> Document No.:</w:t>
      </w:r>
      <w:r>
        <w:t xml:space="preserve">     </w:t>
      </w:r>
      <w:r>
        <w:tab/>
        <w:t xml:space="preserve">FDA/DRI/DER/GL-CSM/2019/11  </w:t>
      </w:r>
    </w:p>
    <w:p w14:paraId="760CD4DC" w14:textId="77777777" w:rsidR="00D25587" w:rsidRDefault="000B6CBD">
      <w:pPr>
        <w:tabs>
          <w:tab w:val="center" w:pos="8117"/>
        </w:tabs>
        <w:spacing w:after="2" w:line="259" w:lineRule="auto"/>
        <w:ind w:left="-5" w:firstLine="0"/>
      </w:pPr>
      <w:r>
        <w:rPr>
          <w:b/>
        </w:rPr>
        <w:t>Date of First Adoption:</w:t>
      </w:r>
      <w:r>
        <w:t xml:space="preserve">  15</w:t>
      </w:r>
      <w:r>
        <w:rPr>
          <w:vertAlign w:val="superscript"/>
        </w:rPr>
        <w:t>th</w:t>
      </w:r>
      <w:r>
        <w:t xml:space="preserve"> March, 2019 </w:t>
      </w:r>
      <w:r>
        <w:rPr>
          <w:b/>
        </w:rPr>
        <w:t>Date of Issue:</w:t>
      </w:r>
      <w:r>
        <w:t xml:space="preserve">     </w:t>
      </w:r>
      <w:r>
        <w:tab/>
        <w:t>15</w:t>
      </w:r>
      <w:r>
        <w:rPr>
          <w:vertAlign w:val="superscript"/>
        </w:rPr>
        <w:t>th</w:t>
      </w:r>
      <w:r>
        <w:t xml:space="preserve"> March, 2019 </w:t>
      </w:r>
    </w:p>
    <w:p w14:paraId="654EFCCC" w14:textId="77777777" w:rsidR="00D25587" w:rsidRDefault="000B6CBD">
      <w:pPr>
        <w:tabs>
          <w:tab w:val="center" w:pos="2174"/>
          <w:tab w:val="center" w:pos="3029"/>
          <w:tab w:val="center" w:pos="3615"/>
        </w:tabs>
        <w:spacing w:after="59" w:line="259" w:lineRule="auto"/>
        <w:ind w:left="-5" w:firstLine="0"/>
      </w:pPr>
      <w:r>
        <w:rPr>
          <w:b/>
        </w:rPr>
        <w:t>Version No.:</w:t>
      </w:r>
      <w:r>
        <w:t xml:space="preserve">   </w:t>
      </w:r>
      <w:r>
        <w:tab/>
        <w:t xml:space="preserve">   </w:t>
      </w:r>
      <w:r>
        <w:tab/>
        <w:t xml:space="preserve">01  </w:t>
      </w:r>
      <w:r>
        <w:tab/>
        <w:t xml:space="preserve">  </w:t>
      </w:r>
    </w:p>
    <w:sdt>
      <w:sdtPr>
        <w:id w:val="-1142963422"/>
        <w:docPartObj>
          <w:docPartGallery w:val="Table of Contents"/>
        </w:docPartObj>
      </w:sdtPr>
      <w:sdtEndPr/>
      <w:sdtContent>
        <w:p w14:paraId="22450823" w14:textId="77777777" w:rsidR="00D25587" w:rsidRDefault="000B6CBD">
          <w:pPr>
            <w:spacing w:after="0" w:line="259" w:lineRule="auto"/>
            <w:ind w:left="14" w:firstLine="0"/>
          </w:pPr>
          <w:r>
            <w:rPr>
              <w:b/>
            </w:rPr>
            <w:t xml:space="preserve">  </w:t>
          </w:r>
          <w:r>
            <w:rPr>
              <w:rFonts w:ascii="Calibri" w:eastAsia="Calibri" w:hAnsi="Calibri" w:cs="Calibri"/>
              <w:sz w:val="28"/>
            </w:rPr>
            <w:t xml:space="preserve">TABLE OF CONTENTS </w:t>
          </w:r>
          <w:r>
            <w:t xml:space="preserve"> </w:t>
          </w:r>
        </w:p>
        <w:p w14:paraId="4D55DB04" w14:textId="77777777" w:rsidR="00D25587" w:rsidRDefault="000B6CBD">
          <w:pPr>
            <w:pStyle w:val="TOC1"/>
            <w:tabs>
              <w:tab w:val="right" w:leader="dot" w:pos="9374"/>
            </w:tabs>
          </w:pPr>
          <w:r>
            <w:fldChar w:fldCharType="begin"/>
          </w:r>
          <w:r>
            <w:instrText xml:space="preserve"> TOC \o "1-2" \h \z \u </w:instrText>
          </w:r>
          <w:r>
            <w:fldChar w:fldCharType="separate"/>
          </w:r>
          <w:hyperlink w:anchor="_Toc4786">
            <w:r>
              <w:rPr>
                <w:rFonts w:ascii="Arial" w:eastAsia="Arial" w:hAnsi="Arial" w:cs="Arial"/>
              </w:rPr>
              <w:t>1.</w:t>
            </w:r>
            <w:r>
              <w:t xml:space="preserve">  </w:t>
            </w:r>
            <w:r>
              <w:rPr>
                <w:rFonts w:ascii="Arial" w:eastAsia="Arial" w:hAnsi="Arial" w:cs="Arial"/>
              </w:rPr>
              <w:t>INTRODUCTION</w:t>
            </w:r>
            <w:r>
              <w:tab/>
            </w:r>
            <w:r>
              <w:fldChar w:fldCharType="begin"/>
            </w:r>
            <w:r>
              <w:instrText>PAGEREF _Toc4786 \h</w:instrText>
            </w:r>
            <w:r>
              <w:fldChar w:fldCharType="separate"/>
            </w:r>
            <w:r>
              <w:t xml:space="preserve">1 </w:t>
            </w:r>
            <w:r>
              <w:fldChar w:fldCharType="end"/>
            </w:r>
          </w:hyperlink>
        </w:p>
        <w:p w14:paraId="71BFFA0C" w14:textId="77777777" w:rsidR="00D25587" w:rsidRDefault="000B6CBD">
          <w:pPr>
            <w:pStyle w:val="TOC2"/>
            <w:tabs>
              <w:tab w:val="right" w:leader="dot" w:pos="9374"/>
            </w:tabs>
          </w:pPr>
          <w:hyperlink w:anchor="_Toc4787">
            <w:r>
              <w:t>1.1 Scope</w:t>
            </w:r>
            <w:r>
              <w:tab/>
            </w:r>
            <w:r>
              <w:fldChar w:fldCharType="begin"/>
            </w:r>
            <w:r>
              <w:instrText>PAGEREF _Toc4787 \h</w:instrText>
            </w:r>
            <w:r>
              <w:fldChar w:fldCharType="separate"/>
            </w:r>
            <w:r>
              <w:t xml:space="preserve">1 </w:t>
            </w:r>
            <w:r>
              <w:fldChar w:fldCharType="end"/>
            </w:r>
          </w:hyperlink>
        </w:p>
        <w:p w14:paraId="6CE89724" w14:textId="77777777" w:rsidR="00D25587" w:rsidRDefault="000B6CBD">
          <w:pPr>
            <w:pStyle w:val="TOC1"/>
            <w:tabs>
              <w:tab w:val="right" w:leader="dot" w:pos="9374"/>
            </w:tabs>
          </w:pPr>
          <w:hyperlink w:anchor="_Toc4788">
            <w:r>
              <w:rPr>
                <w:rFonts w:ascii="Arial" w:eastAsia="Arial" w:hAnsi="Arial" w:cs="Arial"/>
              </w:rPr>
              <w:t>2. GLOSSARY</w:t>
            </w:r>
            <w:r>
              <w:tab/>
            </w:r>
            <w:r>
              <w:fldChar w:fldCharType="begin"/>
            </w:r>
            <w:r>
              <w:instrText>PAGEREF _Toc4788 \h</w:instrText>
            </w:r>
            <w:r>
              <w:fldChar w:fldCharType="separate"/>
            </w:r>
            <w:r>
              <w:t xml:space="preserve">1 </w:t>
            </w:r>
            <w:r>
              <w:fldChar w:fldCharType="end"/>
            </w:r>
          </w:hyperlink>
        </w:p>
        <w:p w14:paraId="31FB38CA" w14:textId="77777777" w:rsidR="00D25587" w:rsidRDefault="000B6CBD">
          <w:pPr>
            <w:pStyle w:val="TOC1"/>
            <w:tabs>
              <w:tab w:val="right" w:leader="dot" w:pos="9374"/>
            </w:tabs>
          </w:pPr>
          <w:hyperlink w:anchor="_Toc4789">
            <w:r>
              <w:rPr>
                <w:rFonts w:ascii="Arial" w:eastAsia="Arial" w:hAnsi="Arial" w:cs="Arial"/>
              </w:rPr>
              <w:t>3. GENERAL REQUIREMENTS</w:t>
            </w:r>
            <w:r>
              <w:tab/>
            </w:r>
            <w:r>
              <w:fldChar w:fldCharType="begin"/>
            </w:r>
            <w:r>
              <w:instrText>PAGEREF _Toc4789 \h</w:instrText>
            </w:r>
            <w:r>
              <w:fldChar w:fldCharType="separate"/>
            </w:r>
            <w:r>
              <w:t xml:space="preserve">1 </w:t>
            </w:r>
            <w:r>
              <w:fldChar w:fldCharType="end"/>
            </w:r>
          </w:hyperlink>
        </w:p>
        <w:p w14:paraId="0DBE68D7" w14:textId="77777777" w:rsidR="00D25587" w:rsidRDefault="000B6CBD">
          <w:pPr>
            <w:pStyle w:val="TOC2"/>
            <w:tabs>
              <w:tab w:val="right" w:leader="dot" w:pos="9374"/>
            </w:tabs>
          </w:pPr>
          <w:hyperlink w:anchor="_Toc4790">
            <w:r>
              <w:t>3.1 Cancellation of a Marketing Authorization by an Appli</w:t>
            </w:r>
            <w:r>
              <w:t>cant</w:t>
            </w:r>
            <w:r>
              <w:tab/>
            </w:r>
            <w:r>
              <w:fldChar w:fldCharType="begin"/>
            </w:r>
            <w:r>
              <w:instrText>PAGEREF _Toc4790 \h</w:instrText>
            </w:r>
            <w:r>
              <w:fldChar w:fldCharType="separate"/>
            </w:r>
            <w:r>
              <w:t xml:space="preserve">2 </w:t>
            </w:r>
            <w:r>
              <w:fldChar w:fldCharType="end"/>
            </w:r>
          </w:hyperlink>
        </w:p>
        <w:p w14:paraId="5CC8B035" w14:textId="77777777" w:rsidR="00D25587" w:rsidRDefault="000B6CBD">
          <w:pPr>
            <w:pStyle w:val="TOC2"/>
            <w:tabs>
              <w:tab w:val="right" w:leader="dot" w:pos="9374"/>
            </w:tabs>
          </w:pPr>
          <w:hyperlink w:anchor="_Toc4791">
            <w:r>
              <w:t>3.2 Cancellation/Suspension of A Marketing Authorization by the</w:t>
            </w:r>
            <w:r>
              <w:tab/>
            </w:r>
            <w:r>
              <w:fldChar w:fldCharType="begin"/>
            </w:r>
            <w:r>
              <w:instrText>PAGEREF _Toc4791 \h</w:instrText>
            </w:r>
            <w:r>
              <w:fldChar w:fldCharType="separate"/>
            </w:r>
            <w:r>
              <w:t xml:space="preserve">2 </w:t>
            </w:r>
            <w:r>
              <w:fldChar w:fldCharType="end"/>
            </w:r>
          </w:hyperlink>
        </w:p>
        <w:p w14:paraId="2A7E8FBA" w14:textId="0DF8D48F" w:rsidR="00D25587" w:rsidRDefault="000B6CBD" w:rsidP="007F31E7">
          <w:pPr>
            <w:ind w:left="0" w:firstLine="0"/>
          </w:pPr>
          <w:r>
            <w:fldChar w:fldCharType="end"/>
          </w:r>
        </w:p>
        <w:bookmarkStart w:id="0" w:name="_GoBack" w:displacedByCustomXml="next"/>
        <w:bookmarkEnd w:id="0" w:displacedByCustomXml="next"/>
      </w:sdtContent>
    </w:sdt>
    <w:p w14:paraId="545CA36B" w14:textId="77777777" w:rsidR="00D25587" w:rsidRDefault="00D25587">
      <w:pPr>
        <w:sectPr w:rsidR="00D25587">
          <w:footerReference w:type="even" r:id="rId11"/>
          <w:footerReference w:type="default" r:id="rId12"/>
          <w:footerReference w:type="first" r:id="rId13"/>
          <w:pgSz w:w="12240" w:h="15840"/>
          <w:pgMar w:top="1440" w:right="1440" w:bottom="1440" w:left="1440" w:header="720" w:footer="720" w:gutter="0"/>
          <w:cols w:space="720"/>
        </w:sectPr>
      </w:pPr>
    </w:p>
    <w:p w14:paraId="00F61957" w14:textId="77777777" w:rsidR="00D25587" w:rsidRDefault="000B6CBD">
      <w:pPr>
        <w:spacing w:after="66" w:line="262" w:lineRule="auto"/>
        <w:ind w:right="14"/>
        <w:jc w:val="right"/>
      </w:pPr>
      <w:r>
        <w:lastRenderedPageBreak/>
        <w:t xml:space="preserve">FDA/DRI/DER/GL-CSM/2019/11  </w:t>
      </w:r>
    </w:p>
    <w:p w14:paraId="7C36CD6F" w14:textId="77777777" w:rsidR="00D25587" w:rsidRDefault="000B6CBD">
      <w:pPr>
        <w:pStyle w:val="Heading1"/>
        <w:ind w:left="355" w:hanging="360"/>
      </w:pPr>
      <w:bookmarkStart w:id="1" w:name="_Toc4786"/>
      <w:r>
        <w:t xml:space="preserve">INTRODUCTION </w:t>
      </w:r>
      <w:r>
        <w:rPr>
          <w:b w:val="0"/>
          <w:sz w:val="28"/>
        </w:rPr>
        <w:t xml:space="preserve"> </w:t>
      </w:r>
      <w:r>
        <w:t xml:space="preserve"> </w:t>
      </w:r>
      <w:bookmarkEnd w:id="1"/>
    </w:p>
    <w:p w14:paraId="5D740952" w14:textId="77777777" w:rsidR="00D25587" w:rsidRDefault="000B6CBD">
      <w:pPr>
        <w:spacing w:after="254" w:line="259" w:lineRule="auto"/>
        <w:ind w:left="14" w:firstLine="0"/>
      </w:pPr>
      <w:r>
        <w:rPr>
          <w:b/>
        </w:rPr>
        <w:t xml:space="preserve"> </w:t>
      </w:r>
      <w:r>
        <w:t xml:space="preserve"> </w:t>
      </w:r>
    </w:p>
    <w:p w14:paraId="479666AE" w14:textId="77777777" w:rsidR="00D25587" w:rsidRDefault="000B6CBD">
      <w:pPr>
        <w:pStyle w:val="Heading2"/>
        <w:ind w:left="398" w:hanging="403"/>
      </w:pPr>
      <w:bookmarkStart w:id="2" w:name="_Toc4787"/>
      <w:r>
        <w:t xml:space="preserve">Scope </w:t>
      </w:r>
      <w:r>
        <w:rPr>
          <w:b w:val="0"/>
          <w:sz w:val="26"/>
        </w:rPr>
        <w:t xml:space="preserve"> </w:t>
      </w:r>
      <w:r>
        <w:t xml:space="preserve"> </w:t>
      </w:r>
      <w:bookmarkEnd w:id="2"/>
    </w:p>
    <w:p w14:paraId="6FEDFD85" w14:textId="77777777" w:rsidR="00D25587" w:rsidRDefault="000B6CBD">
      <w:pPr>
        <w:spacing w:after="19" w:line="259" w:lineRule="auto"/>
        <w:ind w:left="14" w:firstLine="0"/>
      </w:pPr>
      <w:r>
        <w:t xml:space="preserve">  </w:t>
      </w:r>
    </w:p>
    <w:p w14:paraId="1823CF21" w14:textId="77777777" w:rsidR="00D25587" w:rsidRDefault="000B6CBD">
      <w:pPr>
        <w:spacing w:after="2" w:line="276" w:lineRule="auto"/>
        <w:ind w:left="14" w:firstLine="0"/>
        <w:jc w:val="both"/>
      </w:pPr>
      <w:r>
        <w:t>In pursuance of section 119 of the Public Health Act 2012, Act 851, this guideline is hereby made to provide guidance on the cancellation or suspension of the Marketing Authorization of Allopathic drugs for Human Use, Veterinary drugs, Vaccines, Biological</w:t>
      </w:r>
      <w:r>
        <w:t xml:space="preserve"> Products, Herbal Medicines, Food supplements and Homeopathic medicines   </w:t>
      </w:r>
    </w:p>
    <w:p w14:paraId="30CDE98D" w14:textId="77777777" w:rsidR="00D25587" w:rsidRDefault="000B6CBD">
      <w:pPr>
        <w:spacing w:after="19" w:line="259" w:lineRule="auto"/>
        <w:ind w:left="14" w:firstLine="0"/>
      </w:pPr>
      <w:r>
        <w:t xml:space="preserve">  </w:t>
      </w:r>
    </w:p>
    <w:p w14:paraId="6685816A" w14:textId="77777777" w:rsidR="00D25587" w:rsidRDefault="000B6CBD">
      <w:pPr>
        <w:spacing w:after="565"/>
        <w:ind w:left="24" w:right="53"/>
      </w:pPr>
      <w:r>
        <w:t xml:space="preserve">Applicants are encouraged to familiarize themselves with this document and the above law before completing the registration/application form.   </w:t>
      </w:r>
    </w:p>
    <w:p w14:paraId="2AC2AC61" w14:textId="77777777" w:rsidR="00D25587" w:rsidRDefault="000B6CBD">
      <w:pPr>
        <w:pStyle w:val="Heading1"/>
        <w:ind w:left="264" w:hanging="269"/>
      </w:pPr>
      <w:bookmarkStart w:id="3" w:name="_Toc4788"/>
      <w:r>
        <w:t>GLOSSARY</w:t>
      </w:r>
      <w:r>
        <w:rPr>
          <w:b w:val="0"/>
        </w:rPr>
        <w:t xml:space="preserve"> </w:t>
      </w:r>
      <w:r>
        <w:t xml:space="preserve"> </w:t>
      </w:r>
      <w:bookmarkEnd w:id="3"/>
    </w:p>
    <w:p w14:paraId="095BDC29" w14:textId="77777777" w:rsidR="00D25587" w:rsidRDefault="000B6CBD">
      <w:pPr>
        <w:spacing w:after="19" w:line="259" w:lineRule="auto"/>
        <w:ind w:left="14" w:firstLine="0"/>
      </w:pPr>
      <w:r>
        <w:t xml:space="preserve">  </w:t>
      </w:r>
    </w:p>
    <w:p w14:paraId="2419B8FC" w14:textId="77777777" w:rsidR="00D25587" w:rsidRDefault="000B6CBD">
      <w:pPr>
        <w:ind w:left="24" w:right="53"/>
      </w:pPr>
      <w:r>
        <w:t xml:space="preserve"> In this guideline,</w:t>
      </w:r>
      <w:r>
        <w:t xml:space="preserve"> unless the context otherwise states: -  </w:t>
      </w:r>
    </w:p>
    <w:p w14:paraId="09DA55D8" w14:textId="77777777" w:rsidR="00D25587" w:rsidRDefault="000B6CBD">
      <w:pPr>
        <w:spacing w:after="94" w:line="259" w:lineRule="auto"/>
        <w:ind w:left="14" w:firstLine="0"/>
      </w:pPr>
      <w:r>
        <w:t xml:space="preserve">   </w:t>
      </w:r>
    </w:p>
    <w:p w14:paraId="181BFF16" w14:textId="77777777" w:rsidR="00D25587" w:rsidRDefault="000B6CBD">
      <w:pPr>
        <w:ind w:left="24" w:right="53"/>
      </w:pPr>
      <w:r>
        <w:t>“</w:t>
      </w:r>
      <w:r>
        <w:rPr>
          <w:b/>
        </w:rPr>
        <w:t>Applicant</w:t>
      </w:r>
      <w:r>
        <w:t xml:space="preserve">” means the product owner or license holder. Representatives of license holders may not hold themselves as applicants unless they own the product   </w:t>
      </w:r>
    </w:p>
    <w:p w14:paraId="0515AAA4" w14:textId="77777777" w:rsidR="00D25587" w:rsidRDefault="000B6CBD">
      <w:pPr>
        <w:spacing w:after="104" w:line="259" w:lineRule="auto"/>
        <w:ind w:left="14" w:firstLine="0"/>
      </w:pPr>
      <w:r>
        <w:t xml:space="preserve">   </w:t>
      </w:r>
    </w:p>
    <w:p w14:paraId="2B3FF92C" w14:textId="77777777" w:rsidR="00D25587" w:rsidRDefault="000B6CBD">
      <w:pPr>
        <w:ind w:left="24" w:right="53"/>
      </w:pPr>
      <w:r>
        <w:t>“</w:t>
      </w:r>
      <w:r>
        <w:rPr>
          <w:b/>
        </w:rPr>
        <w:t>Authority</w:t>
      </w:r>
      <w:r>
        <w:t xml:space="preserve">” means Food and Drugs Authority   </w:t>
      </w:r>
    </w:p>
    <w:p w14:paraId="5046CB2D" w14:textId="77777777" w:rsidR="00D25587" w:rsidRDefault="000B6CBD">
      <w:pPr>
        <w:spacing w:after="72" w:line="259" w:lineRule="auto"/>
        <w:ind w:left="14" w:firstLine="0"/>
      </w:pPr>
      <w:r>
        <w:t xml:space="preserve">  </w:t>
      </w:r>
    </w:p>
    <w:p w14:paraId="46ED4E0C" w14:textId="77777777" w:rsidR="00D25587" w:rsidRDefault="000B6CBD">
      <w:pPr>
        <w:spacing w:after="175"/>
        <w:ind w:left="24" w:right="53"/>
      </w:pPr>
      <w:r>
        <w:t>“</w:t>
      </w:r>
      <w:r>
        <w:rPr>
          <w:b/>
        </w:rPr>
        <w:t>Drug</w:t>
      </w:r>
      <w:r>
        <w:t xml:space="preserve">” means   </w:t>
      </w:r>
    </w:p>
    <w:p w14:paraId="18D7EDE4" w14:textId="77777777" w:rsidR="00D25587" w:rsidRDefault="000B6CBD">
      <w:pPr>
        <w:numPr>
          <w:ilvl w:val="0"/>
          <w:numId w:val="1"/>
        </w:numPr>
        <w:ind w:right="53" w:hanging="360"/>
      </w:pPr>
      <w:r>
        <w:t xml:space="preserve">a substance referred to in a publication mentioned in the Fourth Schedule,   </w:t>
      </w:r>
    </w:p>
    <w:p w14:paraId="2ECDFAE7" w14:textId="77777777" w:rsidR="00D25587" w:rsidRDefault="000B6CBD">
      <w:pPr>
        <w:numPr>
          <w:ilvl w:val="0"/>
          <w:numId w:val="1"/>
        </w:numPr>
        <w:ind w:right="53" w:hanging="360"/>
      </w:pPr>
      <w:r>
        <w:t xml:space="preserve">a substance or mixture of substances prepared, sold or represented for use in the:  </w:t>
      </w:r>
    </w:p>
    <w:p w14:paraId="2F1F36CD" w14:textId="77777777" w:rsidR="00D25587" w:rsidRDefault="000B6CBD">
      <w:pPr>
        <w:numPr>
          <w:ilvl w:val="1"/>
          <w:numId w:val="1"/>
        </w:numPr>
        <w:ind w:right="53" w:hanging="360"/>
      </w:pPr>
      <w:r>
        <w:t xml:space="preserve">diagnosis, treatment, mitigation or prevention of disease, disorder of abnormal physical state or the symptoms of it, in man or animal, or   </w:t>
      </w:r>
    </w:p>
    <w:p w14:paraId="5B8629DE" w14:textId="77777777" w:rsidR="00D25587" w:rsidRDefault="000B6CBD">
      <w:pPr>
        <w:numPr>
          <w:ilvl w:val="1"/>
          <w:numId w:val="1"/>
        </w:numPr>
        <w:ind w:right="53" w:hanging="360"/>
      </w:pPr>
      <w:r>
        <w:t>restoring, correcting or modi</w:t>
      </w:r>
      <w:r>
        <w:t xml:space="preserve">fying organic functions in man or animal, </w:t>
      </w:r>
      <w:proofErr w:type="gramStart"/>
      <w:r>
        <w:t>and  c.</w:t>
      </w:r>
      <w:proofErr w:type="gramEnd"/>
      <w:r>
        <w:t xml:space="preserve"> </w:t>
      </w:r>
    </w:p>
    <w:p w14:paraId="450109DB" w14:textId="77777777" w:rsidR="00D25587" w:rsidRDefault="000B6CBD">
      <w:pPr>
        <w:ind w:left="1097" w:right="53"/>
      </w:pPr>
      <w:r>
        <w:t xml:space="preserve">nutritional supplements;  </w:t>
      </w:r>
    </w:p>
    <w:p w14:paraId="53E3F917" w14:textId="77777777" w:rsidR="00D25587" w:rsidRDefault="000B6CBD">
      <w:pPr>
        <w:spacing w:after="203" w:line="259" w:lineRule="auto"/>
        <w:ind w:left="14" w:firstLine="0"/>
      </w:pPr>
      <w:r>
        <w:rPr>
          <w:b/>
        </w:rPr>
        <w:t xml:space="preserve"> </w:t>
      </w:r>
      <w:r>
        <w:t xml:space="preserve"> </w:t>
      </w:r>
    </w:p>
    <w:p w14:paraId="6BD7BBB9" w14:textId="77777777" w:rsidR="00D25587" w:rsidRDefault="000B6CBD">
      <w:pPr>
        <w:ind w:left="24" w:right="53"/>
      </w:pPr>
      <w:r>
        <w:rPr>
          <w:b/>
        </w:rPr>
        <w:t xml:space="preserve">“Local agent’ </w:t>
      </w:r>
      <w:r>
        <w:t xml:space="preserve">means locally appointed representative    </w:t>
      </w:r>
    </w:p>
    <w:p w14:paraId="4E499647" w14:textId="77777777" w:rsidR="00D25587" w:rsidRDefault="000B6CBD">
      <w:pPr>
        <w:spacing w:after="19" w:line="259" w:lineRule="auto"/>
        <w:ind w:left="14" w:firstLine="0"/>
      </w:pPr>
      <w:r>
        <w:t xml:space="preserve">  </w:t>
      </w:r>
    </w:p>
    <w:p w14:paraId="7816F52F" w14:textId="77777777" w:rsidR="00D25587" w:rsidRDefault="000B6CBD">
      <w:pPr>
        <w:spacing w:after="21" w:line="259" w:lineRule="auto"/>
        <w:ind w:left="14" w:firstLine="0"/>
      </w:pPr>
      <w:r>
        <w:t xml:space="preserve">  </w:t>
      </w:r>
    </w:p>
    <w:p w14:paraId="23C912A6" w14:textId="77777777" w:rsidR="00D25587" w:rsidRDefault="000B6CBD">
      <w:pPr>
        <w:spacing w:after="19" w:line="259" w:lineRule="auto"/>
        <w:ind w:left="14" w:firstLine="0"/>
      </w:pPr>
      <w:r>
        <w:t xml:space="preserve">  </w:t>
      </w:r>
    </w:p>
    <w:p w14:paraId="73DD2678" w14:textId="77777777" w:rsidR="00D25587" w:rsidRDefault="000B6CBD">
      <w:pPr>
        <w:spacing w:after="72" w:line="259" w:lineRule="auto"/>
        <w:ind w:left="14" w:firstLine="0"/>
      </w:pPr>
      <w:r>
        <w:t xml:space="preserve">  </w:t>
      </w:r>
    </w:p>
    <w:p w14:paraId="0619C455" w14:textId="77777777" w:rsidR="00D25587" w:rsidRDefault="000B6CBD">
      <w:pPr>
        <w:pStyle w:val="Heading1"/>
        <w:ind w:left="264" w:hanging="269"/>
      </w:pPr>
      <w:bookmarkStart w:id="4" w:name="_Toc4789"/>
      <w:r>
        <w:t xml:space="preserve">GENERAL REQUIREMENTS </w:t>
      </w:r>
      <w:r>
        <w:rPr>
          <w:b w:val="0"/>
          <w:color w:val="2E74B5"/>
        </w:rPr>
        <w:t xml:space="preserve"> </w:t>
      </w:r>
      <w:r>
        <w:t xml:space="preserve"> </w:t>
      </w:r>
      <w:bookmarkEnd w:id="4"/>
    </w:p>
    <w:p w14:paraId="258D9260" w14:textId="77777777" w:rsidR="00D25587" w:rsidRDefault="000B6CBD">
      <w:pPr>
        <w:spacing w:after="0" w:line="259" w:lineRule="auto"/>
        <w:ind w:left="14" w:firstLine="0"/>
      </w:pPr>
      <w:r>
        <w:rPr>
          <w:b/>
        </w:rPr>
        <w:t xml:space="preserve"> </w:t>
      </w:r>
      <w:r>
        <w:t xml:space="preserve"> </w:t>
      </w:r>
    </w:p>
    <w:p w14:paraId="433527C5" w14:textId="77777777" w:rsidR="00D25587" w:rsidRDefault="000B6CBD">
      <w:pPr>
        <w:spacing w:after="0" w:line="262" w:lineRule="auto"/>
        <w:ind w:right="14"/>
        <w:jc w:val="right"/>
      </w:pPr>
      <w:r>
        <w:lastRenderedPageBreak/>
        <w:t xml:space="preserve">FDA/DRI/DER/GL-CSM/2019/11  </w:t>
      </w:r>
    </w:p>
    <w:p w14:paraId="69438190" w14:textId="77777777" w:rsidR="00D25587" w:rsidRDefault="000B6CBD">
      <w:pPr>
        <w:pStyle w:val="Heading2"/>
        <w:ind w:left="396" w:hanging="401"/>
      </w:pPr>
      <w:bookmarkStart w:id="5" w:name="_Toc4790"/>
      <w:r>
        <w:t xml:space="preserve">Cancellation of a Marketing Authorization by an Applicant </w:t>
      </w:r>
      <w:r>
        <w:rPr>
          <w:b w:val="0"/>
          <w:color w:val="5B9BD5"/>
        </w:rPr>
        <w:t xml:space="preserve"> </w:t>
      </w:r>
      <w:r>
        <w:t xml:space="preserve"> </w:t>
      </w:r>
      <w:bookmarkEnd w:id="5"/>
    </w:p>
    <w:p w14:paraId="5DCE58B6" w14:textId="77777777" w:rsidR="00D25587" w:rsidRDefault="000B6CBD">
      <w:pPr>
        <w:spacing w:after="19" w:line="259" w:lineRule="auto"/>
        <w:ind w:left="14" w:firstLine="0"/>
      </w:pPr>
      <w:r>
        <w:t xml:space="preserve">  </w:t>
      </w:r>
    </w:p>
    <w:p w14:paraId="502E316E" w14:textId="77777777" w:rsidR="00D25587" w:rsidRDefault="000B6CBD">
      <w:pPr>
        <w:ind w:left="24" w:right="53"/>
      </w:pPr>
      <w:r>
        <w:t xml:space="preserve">An applicant may cancel the marketing authorization of a product by addressing the following;  </w:t>
      </w:r>
    </w:p>
    <w:p w14:paraId="172B37B5" w14:textId="77777777" w:rsidR="00D25587" w:rsidRDefault="000B6CBD">
      <w:pPr>
        <w:spacing w:after="19" w:line="259" w:lineRule="auto"/>
        <w:ind w:left="14" w:firstLine="0"/>
      </w:pPr>
      <w:r>
        <w:rPr>
          <w:b/>
        </w:rPr>
        <w:t xml:space="preserve"> </w:t>
      </w:r>
      <w:r>
        <w:t xml:space="preserve"> </w:t>
      </w:r>
    </w:p>
    <w:p w14:paraId="7004E00F" w14:textId="77777777" w:rsidR="00D25587" w:rsidRDefault="000B6CBD">
      <w:pPr>
        <w:numPr>
          <w:ilvl w:val="0"/>
          <w:numId w:val="2"/>
        </w:numPr>
        <w:ind w:right="53" w:hanging="360"/>
      </w:pPr>
      <w:r>
        <w:t>By submitting a letter addressed to the Chief Executive Officer of the Authority giving reaso</w:t>
      </w:r>
      <w:r>
        <w:t xml:space="preserve">n(s) for the cancellation of marketing authorization of the Allopathic drugs for Human Use, Veterinary drugs, Vaccines, Biological Products, Herbal Medicines, Nutritional supplements and Homeopathic medicines  </w:t>
      </w:r>
    </w:p>
    <w:p w14:paraId="0614A054" w14:textId="77777777" w:rsidR="00D25587" w:rsidRDefault="000B6CBD">
      <w:pPr>
        <w:spacing w:after="19" w:line="259" w:lineRule="auto"/>
        <w:ind w:left="374" w:firstLine="0"/>
      </w:pPr>
      <w:r>
        <w:t xml:space="preserve">  </w:t>
      </w:r>
    </w:p>
    <w:p w14:paraId="60577A2D" w14:textId="77777777" w:rsidR="00D25587" w:rsidRDefault="000B6CBD">
      <w:pPr>
        <w:numPr>
          <w:ilvl w:val="0"/>
          <w:numId w:val="2"/>
        </w:numPr>
        <w:ind w:right="53" w:hanging="360"/>
      </w:pPr>
      <w:r>
        <w:t>The Authority shall act on this request an</w:t>
      </w:r>
      <w:r>
        <w:t xml:space="preserve">d amend its records accordingly where applicable.  </w:t>
      </w:r>
    </w:p>
    <w:p w14:paraId="16F6EB04" w14:textId="77777777" w:rsidR="00D25587" w:rsidRDefault="000B6CBD">
      <w:pPr>
        <w:spacing w:after="19" w:line="259" w:lineRule="auto"/>
        <w:ind w:left="734" w:firstLine="0"/>
      </w:pPr>
      <w:r>
        <w:t xml:space="preserve">  </w:t>
      </w:r>
    </w:p>
    <w:p w14:paraId="19A2A3B0" w14:textId="77777777" w:rsidR="00D25587" w:rsidRDefault="000B6CBD">
      <w:pPr>
        <w:numPr>
          <w:ilvl w:val="0"/>
          <w:numId w:val="2"/>
        </w:numPr>
        <w:ind w:right="53" w:hanging="360"/>
      </w:pPr>
      <w:r>
        <w:t xml:space="preserve">An applicant may at any time after suspension/cancellation of a registration resubmit new information on the drug in line with current requirements for registration.   </w:t>
      </w:r>
    </w:p>
    <w:p w14:paraId="0F6E695D" w14:textId="77777777" w:rsidR="00D25587" w:rsidRDefault="000B6CBD">
      <w:pPr>
        <w:spacing w:after="218" w:line="259" w:lineRule="auto"/>
        <w:ind w:left="14" w:firstLine="0"/>
      </w:pPr>
      <w:r>
        <w:rPr>
          <w:b/>
        </w:rPr>
        <w:t xml:space="preserve"> </w:t>
      </w:r>
      <w:r>
        <w:t xml:space="preserve"> </w:t>
      </w:r>
    </w:p>
    <w:p w14:paraId="19CCC0C5" w14:textId="77777777" w:rsidR="00D25587" w:rsidRDefault="000B6CBD">
      <w:pPr>
        <w:pStyle w:val="Heading2"/>
        <w:ind w:left="398" w:hanging="403"/>
      </w:pPr>
      <w:bookmarkStart w:id="6" w:name="_Toc4791"/>
      <w:r>
        <w:t xml:space="preserve">Cancellation/Suspension of A </w:t>
      </w:r>
      <w:r>
        <w:t>Marketing Authorization</w:t>
      </w:r>
      <w:r>
        <w:rPr>
          <w:color w:val="5B9BD5"/>
        </w:rPr>
        <w:t xml:space="preserve"> by </w:t>
      </w:r>
      <w:proofErr w:type="gramStart"/>
      <w:r>
        <w:rPr>
          <w:color w:val="5B9BD5"/>
        </w:rPr>
        <w:t>the</w:t>
      </w:r>
      <w:r>
        <w:t xml:space="preserve">  Authority</w:t>
      </w:r>
      <w:proofErr w:type="gramEnd"/>
      <w:r>
        <w:rPr>
          <w:b w:val="0"/>
          <w:color w:val="5B9BD5"/>
        </w:rPr>
        <w:t xml:space="preserve"> </w:t>
      </w:r>
      <w:r>
        <w:t xml:space="preserve"> </w:t>
      </w:r>
      <w:bookmarkEnd w:id="6"/>
    </w:p>
    <w:p w14:paraId="5F0C10F1" w14:textId="77777777" w:rsidR="00D25587" w:rsidRDefault="000B6CBD">
      <w:pPr>
        <w:spacing w:after="19" w:line="259" w:lineRule="auto"/>
        <w:ind w:left="14" w:firstLine="0"/>
      </w:pPr>
      <w:r>
        <w:rPr>
          <w:b/>
        </w:rPr>
        <w:t xml:space="preserve"> </w:t>
      </w:r>
      <w:r>
        <w:t xml:space="preserve"> </w:t>
      </w:r>
    </w:p>
    <w:p w14:paraId="6CF2E369" w14:textId="77777777" w:rsidR="00D25587" w:rsidRDefault="000B6CBD">
      <w:pPr>
        <w:numPr>
          <w:ilvl w:val="0"/>
          <w:numId w:val="3"/>
        </w:numPr>
        <w:ind w:right="53" w:hanging="360"/>
      </w:pPr>
      <w:r>
        <w:t xml:space="preserve">The Authority shall cancel/suspend the marketing authorization of a drug based on a new national policy.  </w:t>
      </w:r>
    </w:p>
    <w:p w14:paraId="3D0B28A2" w14:textId="77777777" w:rsidR="00D25587" w:rsidRDefault="000B6CBD">
      <w:pPr>
        <w:spacing w:after="19" w:line="259" w:lineRule="auto"/>
        <w:ind w:left="14" w:firstLine="0"/>
      </w:pPr>
      <w:r>
        <w:t xml:space="preserve">  </w:t>
      </w:r>
    </w:p>
    <w:p w14:paraId="7022A17F" w14:textId="77777777" w:rsidR="00D25587" w:rsidRDefault="000B6CBD">
      <w:pPr>
        <w:numPr>
          <w:ilvl w:val="0"/>
          <w:numId w:val="3"/>
        </w:numPr>
        <w:ind w:right="53" w:hanging="360"/>
      </w:pPr>
      <w:r>
        <w:t xml:space="preserve">The Authority shall cancel the marketing authorization of a product based on recommendations by the FDA’s Technical Advisory Committee for Safety for Medicines and Vaccines and Biologics.  </w:t>
      </w:r>
    </w:p>
    <w:p w14:paraId="7B9A6C62" w14:textId="77777777" w:rsidR="00D25587" w:rsidRDefault="000B6CBD">
      <w:pPr>
        <w:spacing w:after="19" w:line="259" w:lineRule="auto"/>
        <w:ind w:left="3615" w:firstLine="0"/>
      </w:pPr>
      <w:r>
        <w:t xml:space="preserve">  </w:t>
      </w:r>
    </w:p>
    <w:p w14:paraId="6E3CF77D" w14:textId="77777777" w:rsidR="00D25587" w:rsidRDefault="000B6CBD">
      <w:pPr>
        <w:numPr>
          <w:ilvl w:val="0"/>
          <w:numId w:val="3"/>
        </w:numPr>
        <w:ind w:right="53" w:hanging="360"/>
      </w:pPr>
      <w:r>
        <w:t xml:space="preserve">The Authority shall cancel an approval in respect of a registration of a product if the product is not made available on the market after one year of registration.  </w:t>
      </w:r>
    </w:p>
    <w:p w14:paraId="33EF7B69" w14:textId="77777777" w:rsidR="00D25587" w:rsidRDefault="000B6CBD">
      <w:pPr>
        <w:spacing w:after="19" w:line="259" w:lineRule="auto"/>
        <w:ind w:left="14" w:firstLine="0"/>
      </w:pPr>
      <w:r>
        <w:t xml:space="preserve">  </w:t>
      </w:r>
    </w:p>
    <w:p w14:paraId="055E2E82" w14:textId="77777777" w:rsidR="00D25587" w:rsidRDefault="000B6CBD">
      <w:pPr>
        <w:numPr>
          <w:ilvl w:val="0"/>
          <w:numId w:val="3"/>
        </w:numPr>
        <w:ind w:right="53" w:hanging="360"/>
      </w:pPr>
      <w:r>
        <w:t>The Authority</w:t>
      </w:r>
      <w:r>
        <w:rPr>
          <w:b/>
        </w:rPr>
        <w:t xml:space="preserve"> </w:t>
      </w:r>
      <w:r>
        <w:t xml:space="preserve">shall cancel/ suspend the registration </w:t>
      </w:r>
      <w:proofErr w:type="gramStart"/>
      <w:r>
        <w:t>of  a</w:t>
      </w:r>
      <w:proofErr w:type="gramEnd"/>
      <w:r>
        <w:t xml:space="preserve"> drug if:  </w:t>
      </w:r>
    </w:p>
    <w:p w14:paraId="092AF005" w14:textId="77777777" w:rsidR="00D25587" w:rsidRDefault="000B6CBD">
      <w:pPr>
        <w:spacing w:after="19" w:line="259" w:lineRule="auto"/>
        <w:ind w:left="734" w:firstLine="0"/>
      </w:pPr>
      <w:r>
        <w:t xml:space="preserve">  </w:t>
      </w:r>
    </w:p>
    <w:p w14:paraId="4F46AB89" w14:textId="77777777" w:rsidR="00D25587" w:rsidRDefault="000B6CBD">
      <w:pPr>
        <w:numPr>
          <w:ilvl w:val="1"/>
          <w:numId w:val="3"/>
        </w:numPr>
        <w:ind w:right="53" w:hanging="360"/>
      </w:pPr>
      <w:r>
        <w:t>The grounds on</w:t>
      </w:r>
      <w:r>
        <w:t xml:space="preserve"> which it was registered is later found to be false; or   </w:t>
      </w:r>
    </w:p>
    <w:p w14:paraId="652F77B1" w14:textId="77777777" w:rsidR="00D25587" w:rsidRDefault="000B6CBD">
      <w:pPr>
        <w:spacing w:after="187" w:line="259" w:lineRule="auto"/>
        <w:ind w:left="646" w:firstLine="0"/>
      </w:pPr>
      <w:r>
        <w:t xml:space="preserve">    </w:t>
      </w:r>
    </w:p>
    <w:p w14:paraId="690FA1BB" w14:textId="77777777" w:rsidR="00D25587" w:rsidRDefault="000B6CBD">
      <w:pPr>
        <w:numPr>
          <w:ilvl w:val="1"/>
          <w:numId w:val="3"/>
        </w:numPr>
        <w:ind w:right="53" w:hanging="360"/>
      </w:pPr>
      <w:r>
        <w:t xml:space="preserve">The circumstances under which it was registered no longer exist; or   </w:t>
      </w:r>
    </w:p>
    <w:p w14:paraId="17BC7A5F" w14:textId="77777777" w:rsidR="00D25587" w:rsidRDefault="000B6CBD">
      <w:pPr>
        <w:spacing w:after="0" w:line="259" w:lineRule="auto"/>
        <w:ind w:left="646" w:firstLine="0"/>
      </w:pPr>
      <w:r>
        <w:t xml:space="preserve">  </w:t>
      </w:r>
    </w:p>
    <w:p w14:paraId="34AF5685" w14:textId="77777777" w:rsidR="00D25587" w:rsidRDefault="000B6CBD">
      <w:pPr>
        <w:spacing w:after="438" w:line="259" w:lineRule="auto"/>
        <w:ind w:left="14" w:firstLine="0"/>
      </w:pPr>
      <w:r>
        <w:t xml:space="preserve">                                                                                         </w:t>
      </w:r>
      <w:r>
        <w:tab/>
      </w:r>
      <w:r>
        <w:rPr>
          <w:rFonts w:ascii="Calibri" w:eastAsia="Calibri" w:hAnsi="Calibri" w:cs="Calibri"/>
          <w:sz w:val="22"/>
        </w:rPr>
        <w:t xml:space="preserve"> </w:t>
      </w:r>
      <w:r>
        <w:t xml:space="preserve"> </w:t>
      </w:r>
    </w:p>
    <w:p w14:paraId="4596F526" w14:textId="77777777" w:rsidR="00D25587" w:rsidRDefault="000B6CBD">
      <w:pPr>
        <w:numPr>
          <w:ilvl w:val="1"/>
          <w:numId w:val="3"/>
        </w:numPr>
        <w:ind w:right="53" w:hanging="360"/>
      </w:pPr>
      <w:r>
        <w:t>Any of the provisions und</w:t>
      </w:r>
      <w:r>
        <w:t xml:space="preserve">er which it was registered has been contravened; or   </w:t>
      </w:r>
    </w:p>
    <w:p w14:paraId="4B477B8F" w14:textId="77777777" w:rsidR="00D25587" w:rsidRDefault="000B6CBD">
      <w:pPr>
        <w:spacing w:after="0" w:line="259" w:lineRule="auto"/>
        <w:ind w:left="646" w:firstLine="0"/>
      </w:pPr>
      <w:r>
        <w:lastRenderedPageBreak/>
        <w:t xml:space="preserve">  </w:t>
      </w:r>
    </w:p>
    <w:p w14:paraId="105C051A" w14:textId="77777777" w:rsidR="00D25587" w:rsidRDefault="000B6CBD">
      <w:pPr>
        <w:spacing w:after="0" w:line="262" w:lineRule="auto"/>
        <w:ind w:right="14"/>
        <w:jc w:val="right"/>
      </w:pPr>
      <w:r>
        <w:t xml:space="preserve">FDA/DRI/DER/GL-CSM/2019/11 </w:t>
      </w:r>
    </w:p>
    <w:p w14:paraId="353C7C5B" w14:textId="77777777" w:rsidR="00D25587" w:rsidRDefault="000B6CBD">
      <w:pPr>
        <w:numPr>
          <w:ilvl w:val="1"/>
          <w:numId w:val="3"/>
        </w:numPr>
        <w:ind w:right="53" w:hanging="360"/>
      </w:pPr>
      <w:r>
        <w:t xml:space="preserve">The standard of quality, safety and efficacy, as prescribed in the documentation for registration is not being complied with; or   </w:t>
      </w:r>
    </w:p>
    <w:p w14:paraId="6C7B7497" w14:textId="77777777" w:rsidR="00D25587" w:rsidRDefault="000B6CBD">
      <w:pPr>
        <w:spacing w:after="19" w:line="259" w:lineRule="auto"/>
        <w:ind w:left="646" w:firstLine="0"/>
      </w:pPr>
      <w:r>
        <w:t xml:space="preserve">  </w:t>
      </w:r>
    </w:p>
    <w:p w14:paraId="5734B446" w14:textId="77777777" w:rsidR="00D25587" w:rsidRDefault="000B6CBD">
      <w:pPr>
        <w:numPr>
          <w:ilvl w:val="1"/>
          <w:numId w:val="3"/>
        </w:numPr>
        <w:ind w:right="53" w:hanging="360"/>
      </w:pPr>
      <w:r>
        <w:t>The premises, in which the product or part thereof is manufactured, packaged or stored by or on behalf of the holder of t</w:t>
      </w:r>
      <w:r>
        <w:t xml:space="preserve">he certificate of registration is unsuitable for the manufacturing, packaging or storing of the product.   </w:t>
      </w:r>
    </w:p>
    <w:p w14:paraId="1BF4BF2B" w14:textId="77777777" w:rsidR="00D25587" w:rsidRDefault="000B6CBD">
      <w:pPr>
        <w:spacing w:after="19" w:line="259" w:lineRule="auto"/>
        <w:ind w:left="646" w:firstLine="0"/>
      </w:pPr>
      <w:r>
        <w:t xml:space="preserve">  </w:t>
      </w:r>
    </w:p>
    <w:p w14:paraId="17569104" w14:textId="77777777" w:rsidR="00D25587" w:rsidRDefault="000B6CBD">
      <w:pPr>
        <w:numPr>
          <w:ilvl w:val="0"/>
          <w:numId w:val="3"/>
        </w:numPr>
        <w:ind w:right="53" w:hanging="360"/>
      </w:pPr>
      <w:r>
        <w:t xml:space="preserve">The Authority shall cause the suspension/cancellation of a drug for any other sufficient reason determined by the Authority from time to time.   </w:t>
      </w:r>
    </w:p>
    <w:p w14:paraId="6F06095D" w14:textId="77777777" w:rsidR="00D25587" w:rsidRDefault="000B6CBD">
      <w:pPr>
        <w:spacing w:after="19" w:line="259" w:lineRule="auto"/>
        <w:ind w:left="734" w:firstLine="0"/>
      </w:pPr>
      <w:r>
        <w:t xml:space="preserve">  </w:t>
      </w:r>
    </w:p>
    <w:p w14:paraId="55A2167E" w14:textId="77777777" w:rsidR="00D25587" w:rsidRDefault="000B6CBD">
      <w:pPr>
        <w:numPr>
          <w:ilvl w:val="0"/>
          <w:numId w:val="3"/>
        </w:numPr>
        <w:ind w:right="53" w:hanging="360"/>
      </w:pPr>
      <w:r>
        <w:t xml:space="preserve">Where the registration of a product is suspended/cancelled based on safety or quality issues, the Authority shall cause the withdrawal from circulation of that product from the market.  </w:t>
      </w:r>
    </w:p>
    <w:p w14:paraId="4645B438" w14:textId="77777777" w:rsidR="00D25587" w:rsidRDefault="000B6CBD">
      <w:pPr>
        <w:spacing w:after="19" w:line="259" w:lineRule="auto"/>
        <w:ind w:left="14" w:firstLine="0"/>
      </w:pPr>
      <w:r>
        <w:t xml:space="preserve">  </w:t>
      </w:r>
    </w:p>
    <w:p w14:paraId="7B1F9704" w14:textId="77777777" w:rsidR="00D25587" w:rsidRDefault="000B6CBD">
      <w:pPr>
        <w:spacing w:after="19" w:line="259" w:lineRule="auto"/>
        <w:ind w:left="14" w:firstLine="0"/>
      </w:pPr>
      <w:r>
        <w:t xml:space="preserve">  </w:t>
      </w:r>
    </w:p>
    <w:p w14:paraId="05F16A05" w14:textId="77777777" w:rsidR="00D25587" w:rsidRDefault="000B6CBD">
      <w:pPr>
        <w:spacing w:after="19" w:line="259" w:lineRule="auto"/>
        <w:ind w:left="14" w:firstLine="0"/>
      </w:pPr>
      <w:r>
        <w:t xml:space="preserve">  </w:t>
      </w:r>
    </w:p>
    <w:p w14:paraId="197CF525" w14:textId="77777777" w:rsidR="00D25587" w:rsidRDefault="000B6CBD">
      <w:pPr>
        <w:spacing w:after="21" w:line="259" w:lineRule="auto"/>
        <w:ind w:left="14" w:firstLine="0"/>
      </w:pPr>
      <w:r>
        <w:t xml:space="preserve">  </w:t>
      </w:r>
    </w:p>
    <w:p w14:paraId="69D5502D" w14:textId="77777777" w:rsidR="00D25587" w:rsidRDefault="000B6CBD">
      <w:pPr>
        <w:spacing w:after="19" w:line="259" w:lineRule="auto"/>
        <w:ind w:left="14" w:firstLine="0"/>
      </w:pPr>
      <w:r>
        <w:t xml:space="preserve">  </w:t>
      </w:r>
    </w:p>
    <w:p w14:paraId="3771AFFB" w14:textId="77777777" w:rsidR="00D25587" w:rsidRDefault="000B6CBD">
      <w:pPr>
        <w:spacing w:after="19" w:line="259" w:lineRule="auto"/>
        <w:ind w:left="14" w:firstLine="0"/>
      </w:pPr>
      <w:r>
        <w:t xml:space="preserve">  </w:t>
      </w:r>
    </w:p>
    <w:p w14:paraId="1F78FDA9" w14:textId="77777777" w:rsidR="00D25587" w:rsidRDefault="000B6CBD">
      <w:pPr>
        <w:spacing w:after="19" w:line="259" w:lineRule="auto"/>
        <w:ind w:left="14" w:firstLine="0"/>
      </w:pPr>
      <w:r>
        <w:t xml:space="preserve">  </w:t>
      </w:r>
    </w:p>
    <w:p w14:paraId="7FA80F30" w14:textId="77777777" w:rsidR="00D25587" w:rsidRDefault="000B6CBD">
      <w:pPr>
        <w:spacing w:after="19" w:line="259" w:lineRule="auto"/>
        <w:ind w:left="14" w:firstLine="0"/>
      </w:pPr>
      <w:r>
        <w:t xml:space="preserve">  </w:t>
      </w:r>
    </w:p>
    <w:p w14:paraId="6D5B999F" w14:textId="77777777" w:rsidR="00D25587" w:rsidRDefault="000B6CBD">
      <w:pPr>
        <w:spacing w:after="21" w:line="259" w:lineRule="auto"/>
        <w:ind w:left="14" w:firstLine="0"/>
      </w:pPr>
      <w:r>
        <w:t xml:space="preserve">  </w:t>
      </w:r>
    </w:p>
    <w:p w14:paraId="6E216C42" w14:textId="77777777" w:rsidR="00D25587" w:rsidRDefault="000B6CBD">
      <w:pPr>
        <w:spacing w:after="0" w:line="259" w:lineRule="auto"/>
        <w:ind w:left="3615" w:firstLine="0"/>
      </w:pPr>
      <w:r>
        <w:t xml:space="preserve">  </w:t>
      </w:r>
    </w:p>
    <w:sectPr w:rsidR="00D25587">
      <w:footerReference w:type="even" r:id="rId14"/>
      <w:footerReference w:type="default" r:id="rId15"/>
      <w:footerReference w:type="first" r:id="rId16"/>
      <w:pgSz w:w="12240" w:h="15840"/>
      <w:pgMar w:top="736" w:right="1431" w:bottom="1877" w:left="1426" w:header="720" w:footer="7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1574" w14:textId="77777777" w:rsidR="000B6CBD" w:rsidRDefault="000B6CBD">
      <w:pPr>
        <w:spacing w:after="0" w:line="240" w:lineRule="auto"/>
      </w:pPr>
      <w:r>
        <w:separator/>
      </w:r>
    </w:p>
  </w:endnote>
  <w:endnote w:type="continuationSeparator" w:id="0">
    <w:p w14:paraId="7F7341E9" w14:textId="77777777" w:rsidR="000B6CBD" w:rsidRDefault="000B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3122" w14:textId="77777777" w:rsidR="00D25587" w:rsidRDefault="00D2558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1EC5" w14:textId="77777777" w:rsidR="00D25587" w:rsidRDefault="00D2558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913A" w14:textId="77777777" w:rsidR="00D25587" w:rsidRDefault="00D2558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2D7E" w14:textId="77777777" w:rsidR="00D25587" w:rsidRDefault="000B6CBD">
    <w:pPr>
      <w:spacing w:after="18" w:line="259" w:lineRule="auto"/>
      <w:ind w:left="7"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t>3</w:t>
    </w:r>
    <w:r>
      <w:rPr>
        <w:rFonts w:ascii="Calibri" w:eastAsia="Calibri" w:hAnsi="Calibri" w:cs="Calibri"/>
      </w:rPr>
      <w:t xml:space="preserve"> </w:t>
    </w:r>
    <w:r>
      <w:t xml:space="preserve"> </w:t>
    </w:r>
  </w:p>
  <w:p w14:paraId="6C88E781" w14:textId="77777777" w:rsidR="00D25587" w:rsidRDefault="000B6CBD">
    <w:pPr>
      <w:spacing w:after="0" w:line="259" w:lineRule="auto"/>
      <w:ind w:left="14" w:firstLine="0"/>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A2F6" w14:textId="77777777" w:rsidR="00D25587" w:rsidRDefault="000B6CBD">
    <w:pPr>
      <w:spacing w:after="18" w:line="259" w:lineRule="auto"/>
      <w:ind w:left="7"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t>3</w:t>
    </w:r>
    <w:r>
      <w:rPr>
        <w:rFonts w:ascii="Calibri" w:eastAsia="Calibri" w:hAnsi="Calibri" w:cs="Calibri"/>
      </w:rPr>
      <w:t xml:space="preserve"> </w:t>
    </w:r>
    <w:r>
      <w:t xml:space="preserve"> </w:t>
    </w:r>
  </w:p>
  <w:p w14:paraId="24E7B09A" w14:textId="77777777" w:rsidR="00D25587" w:rsidRDefault="000B6CBD">
    <w:pPr>
      <w:spacing w:after="0" w:line="259" w:lineRule="auto"/>
      <w:ind w:left="14" w:firstLine="0"/>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00AD" w14:textId="77777777" w:rsidR="00D25587" w:rsidRDefault="000B6CBD">
    <w:pPr>
      <w:spacing w:after="18" w:line="259" w:lineRule="auto"/>
      <w:ind w:left="7"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t>3</w:t>
    </w:r>
    <w:r>
      <w:rPr>
        <w:rFonts w:ascii="Calibri" w:eastAsia="Calibri" w:hAnsi="Calibri" w:cs="Calibri"/>
      </w:rPr>
      <w:t xml:space="preserve"> </w:t>
    </w:r>
    <w:r>
      <w:t xml:space="preserve"> </w:t>
    </w:r>
  </w:p>
  <w:p w14:paraId="08BABE99" w14:textId="77777777" w:rsidR="00D25587" w:rsidRDefault="000B6CBD">
    <w:pPr>
      <w:spacing w:after="0" w:line="259" w:lineRule="auto"/>
      <w:ind w:left="14"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BEF6" w14:textId="77777777" w:rsidR="000B6CBD" w:rsidRDefault="000B6CBD">
      <w:pPr>
        <w:spacing w:after="0" w:line="240" w:lineRule="auto"/>
      </w:pPr>
      <w:r>
        <w:separator/>
      </w:r>
    </w:p>
  </w:footnote>
  <w:footnote w:type="continuationSeparator" w:id="0">
    <w:p w14:paraId="36CFC30F" w14:textId="77777777" w:rsidR="000B6CBD" w:rsidRDefault="000B6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ACD"/>
    <w:multiLevelType w:val="multilevel"/>
    <w:tmpl w:val="210ACE9C"/>
    <w:lvl w:ilvl="0">
      <w:start w:val="1"/>
      <w:numFmt w:val="decimal"/>
      <w:pStyle w:val="Heading1"/>
      <w:lvlText w:val="%1."/>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190DE4"/>
    <w:multiLevelType w:val="hybridMultilevel"/>
    <w:tmpl w:val="33AEEF62"/>
    <w:lvl w:ilvl="0" w:tplc="296A142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CAC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4C7E92">
      <w:start w:val="1"/>
      <w:numFmt w:val="lowerRoman"/>
      <w:lvlText w:val="%3"/>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6A584">
      <w:start w:val="1"/>
      <w:numFmt w:val="decimal"/>
      <w:lvlText w:val="%4"/>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EEBA0">
      <w:start w:val="1"/>
      <w:numFmt w:val="lowerLetter"/>
      <w:lvlText w:val="%5"/>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E8DA5E">
      <w:start w:val="1"/>
      <w:numFmt w:val="lowerRoman"/>
      <w:lvlText w:val="%6"/>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44E71E">
      <w:start w:val="1"/>
      <w:numFmt w:val="decimal"/>
      <w:lvlText w:val="%7"/>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A57D0">
      <w:start w:val="1"/>
      <w:numFmt w:val="lowerLetter"/>
      <w:lvlText w:val="%8"/>
      <w:lvlJc w:val="left"/>
      <w:pPr>
        <w:ind w:left="5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E2D6EE">
      <w:start w:val="1"/>
      <w:numFmt w:val="lowerRoman"/>
      <w:lvlText w:val="%9"/>
      <w:lvlJc w:val="left"/>
      <w:pPr>
        <w:ind w:left="6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BC254E"/>
    <w:multiLevelType w:val="hybridMultilevel"/>
    <w:tmpl w:val="946A36C2"/>
    <w:lvl w:ilvl="0" w:tplc="3454C22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04A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D2867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EBE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526F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22C4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3EDD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453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D081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532215"/>
    <w:multiLevelType w:val="hybridMultilevel"/>
    <w:tmpl w:val="8A5EAD88"/>
    <w:lvl w:ilvl="0" w:tplc="C784A68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0B3C8">
      <w:start w:val="1"/>
      <w:numFmt w:val="bullet"/>
      <w:lvlText w:val="o"/>
      <w:lvlJc w:val="left"/>
      <w:pPr>
        <w:ind w:left="1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66C44E">
      <w:start w:val="1"/>
      <w:numFmt w:val="bullet"/>
      <w:lvlText w:val="▪"/>
      <w:lvlJc w:val="left"/>
      <w:pPr>
        <w:ind w:left="1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648C62">
      <w:start w:val="1"/>
      <w:numFmt w:val="bullet"/>
      <w:lvlText w:val="•"/>
      <w:lvlJc w:val="left"/>
      <w:pPr>
        <w:ind w:left="2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600EDA">
      <w:start w:val="1"/>
      <w:numFmt w:val="bullet"/>
      <w:lvlText w:val="o"/>
      <w:lvlJc w:val="left"/>
      <w:pPr>
        <w:ind w:left="3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92AA264">
      <w:start w:val="1"/>
      <w:numFmt w:val="bullet"/>
      <w:lvlText w:val="▪"/>
      <w:lvlJc w:val="left"/>
      <w:pPr>
        <w:ind w:left="3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84A3798">
      <w:start w:val="1"/>
      <w:numFmt w:val="bullet"/>
      <w:lvlText w:val="•"/>
      <w:lvlJc w:val="left"/>
      <w:pPr>
        <w:ind w:left="4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68C4D8A">
      <w:start w:val="1"/>
      <w:numFmt w:val="bullet"/>
      <w:lvlText w:val="o"/>
      <w:lvlJc w:val="left"/>
      <w:pPr>
        <w:ind w:left="5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885B12">
      <w:start w:val="1"/>
      <w:numFmt w:val="bullet"/>
      <w:lvlText w:val="▪"/>
      <w:lvlJc w:val="left"/>
      <w:pPr>
        <w:ind w:left="6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87"/>
    <w:rsid w:val="000B6CBD"/>
    <w:rsid w:val="007F31E7"/>
    <w:rsid w:val="00D2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AD85"/>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4"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2"/>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4"/>
      </w:numPr>
      <w:spacing w:after="2"/>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pPr>
      <w:spacing w:after="121"/>
      <w:ind w:left="39" w:right="23" w:hanging="10"/>
    </w:pPr>
    <w:rPr>
      <w:rFonts w:ascii="Calibri" w:eastAsia="Calibri" w:hAnsi="Calibri" w:cs="Calibri"/>
      <w:color w:val="000000"/>
    </w:rPr>
  </w:style>
  <w:style w:type="paragraph" w:styleId="TOC2">
    <w:name w:val="toc 2"/>
    <w:hidden/>
    <w:pPr>
      <w:spacing w:after="115"/>
      <w:ind w:left="245" w:right="17" w:hanging="10"/>
      <w:jc w:val="right"/>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0.png"/><Relationship Id="rId4" Type="http://schemas.openxmlformats.org/officeDocument/2006/relationships/webSettings" Target="webSetting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FDADERW_8</dc:creator>
  <cp:keywords/>
  <cp:lastModifiedBy>samuel fahren otoo</cp:lastModifiedBy>
  <cp:revision>2</cp:revision>
  <dcterms:created xsi:type="dcterms:W3CDTF">2020-04-05T16:21:00Z</dcterms:created>
  <dcterms:modified xsi:type="dcterms:W3CDTF">2020-04-05T16:21:00Z</dcterms:modified>
</cp:coreProperties>
</file>