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C65" w:rsidRDefault="000406CC">
      <w:pPr>
        <w:spacing w:after="18" w:line="259" w:lineRule="auto"/>
        <w:ind w:left="314" w:right="0" w:firstLine="0"/>
        <w:jc w:val="left"/>
      </w:pPr>
      <w:r>
        <w:rPr>
          <w:b/>
        </w:rPr>
        <w:t xml:space="preserve"> </w:t>
      </w:r>
    </w:p>
    <w:p w:rsidR="00EF0C65" w:rsidRDefault="000406CC">
      <w:pPr>
        <w:spacing w:after="0" w:line="259" w:lineRule="auto"/>
        <w:ind w:left="0" w:right="307" w:firstLine="0"/>
        <w:jc w:val="center"/>
      </w:pPr>
      <w:r>
        <w:rPr>
          <w:rFonts w:ascii="Trebuchet MS" w:eastAsia="Trebuchet MS" w:hAnsi="Trebuchet MS" w:cs="Trebuchet MS"/>
          <w:b/>
        </w:rPr>
        <w:t xml:space="preserve"> </w:t>
      </w:r>
      <w:r>
        <w:t xml:space="preserve"> </w:t>
      </w:r>
    </w:p>
    <w:p w:rsidR="00EF0C65" w:rsidRDefault="000406CC">
      <w:pPr>
        <w:spacing w:after="0" w:line="259" w:lineRule="auto"/>
        <w:ind w:left="0" w:right="306" w:firstLine="0"/>
        <w:jc w:val="center"/>
      </w:pPr>
      <w:r>
        <w:rPr>
          <w:noProof/>
        </w:rPr>
        <w:drawing>
          <wp:inline distT="0" distB="0" distL="0" distR="0">
            <wp:extent cx="1379220" cy="139954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1379220" cy="1399540"/>
                    </a:xfrm>
                    <a:prstGeom prst="rect">
                      <a:avLst/>
                    </a:prstGeom>
                  </pic:spPr>
                </pic:pic>
              </a:graphicData>
            </a:graphic>
          </wp:inline>
        </w:drawing>
      </w:r>
      <w:r>
        <w:rPr>
          <w:rFonts w:ascii="Trebuchet MS" w:eastAsia="Trebuchet MS" w:hAnsi="Trebuchet MS" w:cs="Trebuchet MS"/>
          <w:b/>
        </w:rPr>
        <w:t xml:space="preserve"> </w:t>
      </w:r>
      <w:r>
        <w:t xml:space="preserve"> </w:t>
      </w:r>
    </w:p>
    <w:p w:rsidR="00EF0C65" w:rsidRDefault="000406CC">
      <w:pPr>
        <w:spacing w:after="443" w:line="259" w:lineRule="auto"/>
        <w:ind w:left="0" w:right="307" w:firstLine="0"/>
        <w:jc w:val="center"/>
      </w:pPr>
      <w:r>
        <w:rPr>
          <w:rFonts w:ascii="Trebuchet MS" w:eastAsia="Trebuchet MS" w:hAnsi="Trebuchet MS" w:cs="Trebuchet MS"/>
          <w:b/>
        </w:rPr>
        <w:t xml:space="preserve"> </w:t>
      </w:r>
      <w:r>
        <w:t xml:space="preserve"> </w:t>
      </w:r>
    </w:p>
    <w:p w:rsidR="00EF0C65" w:rsidRDefault="000406CC">
      <w:pPr>
        <w:spacing w:after="0" w:line="259" w:lineRule="auto"/>
        <w:ind w:left="1114" w:right="0" w:firstLine="0"/>
        <w:jc w:val="left"/>
      </w:pPr>
      <w:r>
        <w:rPr>
          <w:b/>
          <w:sz w:val="48"/>
        </w:rPr>
        <w:t>FOOD AND DRUGS AUTHORITY</w:t>
      </w:r>
      <w:r>
        <w:rPr>
          <w:b/>
          <w:sz w:val="48"/>
          <w:vertAlign w:val="subscript"/>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0" w:line="259" w:lineRule="auto"/>
        <w:ind w:left="0" w:right="290" w:firstLine="0"/>
        <w:jc w:val="center"/>
      </w:pPr>
      <w:r>
        <w:rPr>
          <w:b/>
          <w:sz w:val="32"/>
        </w:rPr>
        <w:t xml:space="preserve"> </w:t>
      </w:r>
      <w:r>
        <w:t xml:space="preserve"> </w:t>
      </w:r>
    </w:p>
    <w:p w:rsidR="00EF0C65" w:rsidRDefault="000406CC">
      <w:pPr>
        <w:spacing w:after="98" w:line="259" w:lineRule="auto"/>
        <w:ind w:left="0" w:right="290" w:firstLine="0"/>
        <w:jc w:val="center"/>
      </w:pPr>
      <w:r>
        <w:rPr>
          <w:b/>
          <w:sz w:val="32"/>
        </w:rPr>
        <w:t xml:space="preserve"> </w:t>
      </w:r>
      <w:r>
        <w:t xml:space="preserve"> </w:t>
      </w:r>
    </w:p>
    <w:p w:rsidR="00EF0C65" w:rsidRDefault="000406CC">
      <w:pPr>
        <w:spacing w:after="0" w:line="259" w:lineRule="auto"/>
        <w:ind w:left="367" w:right="0" w:firstLine="0"/>
        <w:jc w:val="left"/>
      </w:pPr>
      <w:r>
        <w:rPr>
          <w:b/>
          <w:sz w:val="40"/>
        </w:rPr>
        <w:t xml:space="preserve">GUIDELINE FOR REGISTRATION OF HERBAL </w:t>
      </w:r>
      <w:r>
        <w:t xml:space="preserve"> </w:t>
      </w:r>
    </w:p>
    <w:p w:rsidR="00EF0C65" w:rsidRDefault="000406CC">
      <w:pPr>
        <w:spacing w:after="0" w:line="259" w:lineRule="auto"/>
        <w:ind w:left="0" w:right="513" w:firstLine="0"/>
        <w:jc w:val="center"/>
      </w:pPr>
      <w:r>
        <w:rPr>
          <w:b/>
          <w:sz w:val="40"/>
        </w:rPr>
        <w:t xml:space="preserve">MEDICINAL PRODUCTS IN GHANA </w:t>
      </w:r>
      <w:r>
        <w:t xml:space="preserve"> </w:t>
      </w:r>
    </w:p>
    <w:p w:rsidR="00EF0C65" w:rsidRDefault="000406CC">
      <w:pPr>
        <w:spacing w:after="0" w:line="259" w:lineRule="auto"/>
        <w:ind w:left="0" w:right="250" w:firstLine="0"/>
        <w:jc w:val="center"/>
      </w:pPr>
      <w:r>
        <w:rPr>
          <w:b/>
          <w:sz w:val="40"/>
        </w:rPr>
        <w:t xml:space="preserve"> </w:t>
      </w:r>
      <w:r>
        <w:t xml:space="preserve"> </w:t>
      </w:r>
    </w:p>
    <w:p w:rsidR="00EF0C65" w:rsidRDefault="000406CC">
      <w:pPr>
        <w:spacing w:after="0" w:line="259" w:lineRule="auto"/>
        <w:ind w:left="0" w:right="250" w:firstLine="0"/>
        <w:jc w:val="center"/>
      </w:pPr>
      <w:r>
        <w:rPr>
          <w:b/>
          <w:sz w:val="40"/>
        </w:rPr>
        <w:t xml:space="preserve"> </w:t>
      </w:r>
      <w:r>
        <w:t xml:space="preserve"> </w:t>
      </w:r>
    </w:p>
    <w:p w:rsidR="00EF0C65" w:rsidRDefault="000406CC">
      <w:pPr>
        <w:spacing w:after="0" w:line="259" w:lineRule="auto"/>
        <w:ind w:left="0" w:right="250" w:firstLine="0"/>
        <w:jc w:val="center"/>
      </w:pPr>
      <w:r>
        <w:rPr>
          <w:b/>
          <w:sz w:val="40"/>
        </w:rPr>
        <w:t xml:space="preserve"> </w:t>
      </w:r>
      <w:r>
        <w:t xml:space="preserve"> </w:t>
      </w:r>
    </w:p>
    <w:p w:rsidR="00EF0C65" w:rsidRDefault="000406CC">
      <w:pPr>
        <w:spacing w:after="0" w:line="259" w:lineRule="auto"/>
        <w:ind w:left="0" w:right="250" w:firstLine="0"/>
        <w:jc w:val="center"/>
      </w:pPr>
      <w:r>
        <w:rPr>
          <w:b/>
          <w:sz w:val="40"/>
        </w:rPr>
        <w:t xml:space="preserve"> </w:t>
      </w:r>
      <w:r>
        <w:t xml:space="preserve"> </w:t>
      </w:r>
    </w:p>
    <w:p w:rsidR="00EF0C65" w:rsidRDefault="000406CC">
      <w:pPr>
        <w:spacing w:after="0" w:line="259" w:lineRule="auto"/>
        <w:ind w:left="0" w:right="250" w:firstLine="0"/>
        <w:jc w:val="center"/>
      </w:pPr>
      <w:r>
        <w:rPr>
          <w:b/>
          <w:sz w:val="40"/>
        </w:rPr>
        <w:t xml:space="preserve"> </w:t>
      </w:r>
      <w:r>
        <w:t xml:space="preserve"> </w:t>
      </w:r>
    </w:p>
    <w:p w:rsidR="00EF0C65" w:rsidRDefault="000406CC">
      <w:pPr>
        <w:spacing w:after="0" w:line="259" w:lineRule="auto"/>
        <w:ind w:left="314" w:right="0" w:firstLine="0"/>
        <w:jc w:val="left"/>
      </w:pPr>
      <w:r>
        <w:rPr>
          <w:b/>
          <w:sz w:val="40"/>
        </w:rPr>
        <w:t xml:space="preserve">  </w:t>
      </w:r>
      <w:r>
        <w:t xml:space="preserve"> </w:t>
      </w:r>
    </w:p>
    <w:p w:rsidR="00EF0C65" w:rsidRDefault="000406CC">
      <w:pPr>
        <w:spacing w:after="0" w:line="259" w:lineRule="auto"/>
        <w:ind w:left="314" w:right="0" w:firstLine="0"/>
        <w:jc w:val="left"/>
      </w:pPr>
      <w:r>
        <w:rPr>
          <w:b/>
          <w:sz w:val="40"/>
        </w:rPr>
        <w:t xml:space="preserve"> </w:t>
      </w:r>
      <w:r>
        <w:t xml:space="preserve"> </w:t>
      </w:r>
    </w:p>
    <w:p w:rsidR="00EF0C65" w:rsidRDefault="000406CC">
      <w:pPr>
        <w:spacing w:after="0" w:line="259" w:lineRule="auto"/>
        <w:ind w:left="314" w:right="0" w:firstLine="0"/>
        <w:jc w:val="left"/>
      </w:pPr>
      <w:r>
        <w:rPr>
          <w:b/>
          <w:sz w:val="40"/>
        </w:rPr>
        <w:t xml:space="preserve"> </w:t>
      </w:r>
      <w:r>
        <w:t xml:space="preserve"> </w:t>
      </w:r>
    </w:p>
    <w:p w:rsidR="00EF0C65" w:rsidRDefault="000406CC">
      <w:pPr>
        <w:spacing w:after="0" w:line="259" w:lineRule="auto"/>
        <w:ind w:left="314" w:right="0" w:firstLine="0"/>
        <w:jc w:val="left"/>
      </w:pPr>
      <w:r>
        <w:rPr>
          <w:b/>
          <w:sz w:val="40"/>
        </w:rPr>
        <w:t xml:space="preserve"> </w:t>
      </w:r>
      <w:r>
        <w:t xml:space="preserve"> </w:t>
      </w:r>
    </w:p>
    <w:p w:rsidR="00EF0C65" w:rsidRDefault="000406CC">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110605" cy="128778"/>
                <wp:effectExtent l="0" t="0" r="0" b="0"/>
                <wp:docPr id="8361" name="Group 8361"/>
                <wp:cNvGraphicFramePr/>
                <a:graphic xmlns:a="http://schemas.openxmlformats.org/drawingml/2006/main">
                  <a:graphicData uri="http://schemas.microsoft.com/office/word/2010/wordprocessingGroup">
                    <wpg:wgp>
                      <wpg:cNvGrpSpPr/>
                      <wpg:grpSpPr>
                        <a:xfrm>
                          <a:off x="0" y="0"/>
                          <a:ext cx="6110605" cy="128778"/>
                          <a:chOff x="0" y="0"/>
                          <a:chExt cx="6110605" cy="128778"/>
                        </a:xfrm>
                      </wpg:grpSpPr>
                      <wps:wsp>
                        <wps:cNvPr id="10983" name="Shape 10983"/>
                        <wps:cNvSpPr/>
                        <wps:spPr>
                          <a:xfrm>
                            <a:off x="17983" y="0"/>
                            <a:ext cx="5733466" cy="19558"/>
                          </a:xfrm>
                          <a:custGeom>
                            <a:avLst/>
                            <a:gdLst/>
                            <a:ahLst/>
                            <a:cxnLst/>
                            <a:rect l="0" t="0" r="0" b="0"/>
                            <a:pathLst>
                              <a:path w="5733466" h="19558">
                                <a:moveTo>
                                  <a:pt x="0" y="0"/>
                                </a:moveTo>
                                <a:lnTo>
                                  <a:pt x="5733466" y="0"/>
                                </a:lnTo>
                                <a:lnTo>
                                  <a:pt x="5733466" y="19558"/>
                                </a:lnTo>
                                <a:lnTo>
                                  <a:pt x="0" y="1955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984" name="Shape 10984"/>
                        <wps:cNvSpPr/>
                        <wps:spPr>
                          <a:xfrm>
                            <a:off x="18288"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985" name="Shape 10985"/>
                        <wps:cNvSpPr/>
                        <wps:spPr>
                          <a:xfrm>
                            <a:off x="21336" y="1270"/>
                            <a:ext cx="5728081" cy="9144"/>
                          </a:xfrm>
                          <a:custGeom>
                            <a:avLst/>
                            <a:gdLst/>
                            <a:ahLst/>
                            <a:cxnLst/>
                            <a:rect l="0" t="0" r="0" b="0"/>
                            <a:pathLst>
                              <a:path w="5728081" h="9144">
                                <a:moveTo>
                                  <a:pt x="0" y="0"/>
                                </a:moveTo>
                                <a:lnTo>
                                  <a:pt x="5728081" y="0"/>
                                </a:lnTo>
                                <a:lnTo>
                                  <a:pt x="572808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986" name="Shape 10986"/>
                        <wps:cNvSpPr/>
                        <wps:spPr>
                          <a:xfrm>
                            <a:off x="5749544"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987" name="Shape 10987"/>
                        <wps:cNvSpPr/>
                        <wps:spPr>
                          <a:xfrm>
                            <a:off x="18288" y="4318"/>
                            <a:ext cx="9144" cy="13589"/>
                          </a:xfrm>
                          <a:custGeom>
                            <a:avLst/>
                            <a:gdLst/>
                            <a:ahLst/>
                            <a:cxnLst/>
                            <a:rect l="0" t="0" r="0" b="0"/>
                            <a:pathLst>
                              <a:path w="9144" h="13589">
                                <a:moveTo>
                                  <a:pt x="0" y="0"/>
                                </a:moveTo>
                                <a:lnTo>
                                  <a:pt x="9144" y="0"/>
                                </a:lnTo>
                                <a:lnTo>
                                  <a:pt x="9144" y="13589"/>
                                </a:lnTo>
                                <a:lnTo>
                                  <a:pt x="0" y="1358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988" name="Shape 10988"/>
                        <wps:cNvSpPr/>
                        <wps:spPr>
                          <a:xfrm>
                            <a:off x="5749544" y="4318"/>
                            <a:ext cx="9144" cy="13589"/>
                          </a:xfrm>
                          <a:custGeom>
                            <a:avLst/>
                            <a:gdLst/>
                            <a:ahLst/>
                            <a:cxnLst/>
                            <a:rect l="0" t="0" r="0" b="0"/>
                            <a:pathLst>
                              <a:path w="9144" h="13589">
                                <a:moveTo>
                                  <a:pt x="0" y="0"/>
                                </a:moveTo>
                                <a:lnTo>
                                  <a:pt x="9144" y="0"/>
                                </a:lnTo>
                                <a:lnTo>
                                  <a:pt x="9144" y="13589"/>
                                </a:lnTo>
                                <a:lnTo>
                                  <a:pt x="0" y="13589"/>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989" name="Shape 10989"/>
                        <wps:cNvSpPr/>
                        <wps:spPr>
                          <a:xfrm>
                            <a:off x="18288"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990" name="Shape 10990"/>
                        <wps:cNvSpPr/>
                        <wps:spPr>
                          <a:xfrm>
                            <a:off x="21336" y="17907"/>
                            <a:ext cx="5728081" cy="9144"/>
                          </a:xfrm>
                          <a:custGeom>
                            <a:avLst/>
                            <a:gdLst/>
                            <a:ahLst/>
                            <a:cxnLst/>
                            <a:rect l="0" t="0" r="0" b="0"/>
                            <a:pathLst>
                              <a:path w="5728081" h="9144">
                                <a:moveTo>
                                  <a:pt x="0" y="0"/>
                                </a:moveTo>
                                <a:lnTo>
                                  <a:pt x="5728081" y="0"/>
                                </a:lnTo>
                                <a:lnTo>
                                  <a:pt x="572808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991" name="Shape 10991"/>
                        <wps:cNvSpPr/>
                        <wps:spPr>
                          <a:xfrm>
                            <a:off x="5749544"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992" name="Shape 10992"/>
                        <wps:cNvSpPr/>
                        <wps:spPr>
                          <a:xfrm>
                            <a:off x="18288" y="66548"/>
                            <a:ext cx="6092317" cy="25781"/>
                          </a:xfrm>
                          <a:custGeom>
                            <a:avLst/>
                            <a:gdLst/>
                            <a:ahLst/>
                            <a:cxnLst/>
                            <a:rect l="0" t="0" r="0" b="0"/>
                            <a:pathLst>
                              <a:path w="6092317" h="25781">
                                <a:moveTo>
                                  <a:pt x="0" y="0"/>
                                </a:moveTo>
                                <a:lnTo>
                                  <a:pt x="6092317" y="0"/>
                                </a:lnTo>
                                <a:lnTo>
                                  <a:pt x="6092317" y="25781"/>
                                </a:lnTo>
                                <a:lnTo>
                                  <a:pt x="0" y="257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3" name="Shape 10993"/>
                        <wps:cNvSpPr/>
                        <wps:spPr>
                          <a:xfrm>
                            <a:off x="0" y="119634"/>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61" style="width:481.15pt;height:10.14pt;mso-position-horizontal-relative:char;mso-position-vertical-relative:line" coordsize="61106,1287">
                <v:shape id="Shape 10994" style="position:absolute;width:57334;height:195;left:179;top:0;" coordsize="5733466,19558" path="m0,0l5733466,0l5733466,19558l0,19558l0,0">
                  <v:stroke weight="0pt" endcap="flat" joinstyle="miter" miterlimit="10" on="false" color="#000000" opacity="0"/>
                  <v:fill on="true" color="#a0a0a0"/>
                </v:shape>
                <v:shape id="Shape 10995" style="position:absolute;width:91;height:91;left:182;top:12;" coordsize="9144,9144" path="m0,0l9144,0l9144,9144l0,9144l0,0">
                  <v:stroke weight="0pt" endcap="flat" joinstyle="miter" miterlimit="10" on="false" color="#000000" opacity="0"/>
                  <v:fill on="true" color="#a0a0a0"/>
                </v:shape>
                <v:shape id="Shape 10996" style="position:absolute;width:57280;height:91;left:213;top:12;" coordsize="5728081,9144" path="m0,0l5728081,0l5728081,9144l0,9144l0,0">
                  <v:stroke weight="0pt" endcap="flat" joinstyle="miter" miterlimit="10" on="false" color="#000000" opacity="0"/>
                  <v:fill on="true" color="#a0a0a0"/>
                </v:shape>
                <v:shape id="Shape 10997" style="position:absolute;width:91;height:91;left:57495;top:12;" coordsize="9144,9144" path="m0,0l9144,0l9144,9144l0,9144l0,0">
                  <v:stroke weight="0pt" endcap="flat" joinstyle="miter" miterlimit="10" on="false" color="#000000" opacity="0"/>
                  <v:fill on="true" color="#a0a0a0"/>
                </v:shape>
                <v:shape id="Shape 10998" style="position:absolute;width:91;height:135;left:182;top:43;" coordsize="9144,13589" path="m0,0l9144,0l9144,13589l0,13589l0,0">
                  <v:stroke weight="0pt" endcap="flat" joinstyle="miter" miterlimit="10" on="false" color="#000000" opacity="0"/>
                  <v:fill on="true" color="#a0a0a0"/>
                </v:shape>
                <v:shape id="Shape 10999" style="position:absolute;width:91;height:135;left:57495;top:43;" coordsize="9144,13589" path="m0,0l9144,0l9144,13589l0,13589l0,0">
                  <v:stroke weight="0pt" endcap="flat" joinstyle="miter" miterlimit="10" on="false" color="#000000" opacity="0"/>
                  <v:fill on="true" color="#e3e3e3"/>
                </v:shape>
                <v:shape id="Shape 11000" style="position:absolute;width:91;height:91;left:182;top:179;" coordsize="9144,9144" path="m0,0l9144,0l9144,9144l0,9144l0,0">
                  <v:stroke weight="0pt" endcap="flat" joinstyle="miter" miterlimit="10" on="false" color="#000000" opacity="0"/>
                  <v:fill on="true" color="#e3e3e3"/>
                </v:shape>
                <v:shape id="Shape 11001" style="position:absolute;width:57280;height:91;left:213;top:179;" coordsize="5728081,9144" path="m0,0l5728081,0l5728081,9144l0,9144l0,0">
                  <v:stroke weight="0pt" endcap="flat" joinstyle="miter" miterlimit="10" on="false" color="#000000" opacity="0"/>
                  <v:fill on="true" color="#e3e3e3"/>
                </v:shape>
                <v:shape id="Shape 11002" style="position:absolute;width:91;height:91;left:57495;top:179;" coordsize="9144,9144" path="m0,0l9144,0l9144,9144l0,9144l0,0">
                  <v:stroke weight="0pt" endcap="flat" joinstyle="miter" miterlimit="10" on="false" color="#000000" opacity="0"/>
                  <v:fill on="true" color="#e3e3e3"/>
                </v:shape>
                <v:shape id="Shape 11003" style="position:absolute;width:60923;height:257;left:182;top:665;" coordsize="6092317,25781" path="m0,0l6092317,0l6092317,25781l0,25781l0,0">
                  <v:stroke weight="0pt" endcap="flat" joinstyle="miter" miterlimit="10" on="false" color="#000000" opacity="0"/>
                  <v:fill on="true" color="#000000"/>
                </v:shape>
                <v:shape id="Shape 11004" style="position:absolute;width:57707;height:91;left:0;top:1196;" coordsize="5770753,9144" path="m0,0l5770753,0l5770753,9144l0,9144l0,0">
                  <v:stroke weight="0pt" endcap="flat" joinstyle="miter" miterlimit="10" on="false" color="#000000" opacity="0"/>
                  <v:fill on="true" color="#000000"/>
                </v:shape>
              </v:group>
            </w:pict>
          </mc:Fallback>
        </mc:AlternateContent>
      </w:r>
      <w:r>
        <w:rPr>
          <w:b/>
          <w:sz w:val="40"/>
        </w:rPr>
        <w:t xml:space="preserve"> </w:t>
      </w:r>
      <w:r>
        <w:t xml:space="preserve"> </w:t>
      </w:r>
    </w:p>
    <w:p w:rsidR="00EF0C65" w:rsidRDefault="000406CC">
      <w:pPr>
        <w:spacing w:after="1" w:line="259" w:lineRule="auto"/>
        <w:ind w:left="314" w:right="0" w:firstLine="0"/>
        <w:jc w:val="left"/>
      </w:pPr>
      <w:r>
        <w:rPr>
          <w:b/>
        </w:rPr>
        <w:t xml:space="preserve"> </w:t>
      </w:r>
      <w:r>
        <w:t xml:space="preserve"> </w:t>
      </w:r>
    </w:p>
    <w:p w:rsidR="00E169D8" w:rsidRDefault="000406CC">
      <w:pPr>
        <w:spacing w:after="0" w:line="259" w:lineRule="auto"/>
        <w:ind w:left="305" w:right="0"/>
        <w:jc w:val="left"/>
        <w:rPr>
          <w:b/>
        </w:rPr>
      </w:pPr>
      <w:r>
        <w:rPr>
          <w:b/>
        </w:rPr>
        <w:t xml:space="preserve">Document No.:     </w:t>
      </w:r>
      <w:r>
        <w:rPr>
          <w:b/>
        </w:rPr>
        <w:tab/>
        <w:t xml:space="preserve"> </w:t>
      </w:r>
      <w:r w:rsidR="00E169D8">
        <w:rPr>
          <w:b/>
        </w:rPr>
        <w:t xml:space="preserve">            </w:t>
      </w:r>
      <w:r>
        <w:rPr>
          <w:b/>
        </w:rPr>
        <w:t>FDA/HMD/GL-</w:t>
      </w:r>
      <w:r>
        <w:rPr>
          <w:b/>
        </w:rPr>
        <w:t xml:space="preserve">HB/2012/01 </w:t>
      </w:r>
    </w:p>
    <w:p w:rsidR="00E169D8" w:rsidRDefault="000406CC">
      <w:pPr>
        <w:spacing w:after="0" w:line="259" w:lineRule="auto"/>
        <w:ind w:left="305" w:right="0"/>
        <w:jc w:val="left"/>
        <w:rPr>
          <w:b/>
        </w:rPr>
      </w:pPr>
      <w:r>
        <w:rPr>
          <w:b/>
        </w:rPr>
        <w:t xml:space="preserve">Date of First Adoption:  </w:t>
      </w:r>
      <w:r>
        <w:rPr>
          <w:b/>
        </w:rPr>
        <w:tab/>
        <w:t xml:space="preserve"> 1</w:t>
      </w:r>
      <w:r>
        <w:rPr>
          <w:b/>
          <w:vertAlign w:val="superscript"/>
        </w:rPr>
        <w:t>st</w:t>
      </w:r>
      <w:r>
        <w:rPr>
          <w:b/>
        </w:rPr>
        <w:t xml:space="preserve"> February 2013</w:t>
      </w:r>
    </w:p>
    <w:p w:rsidR="00E169D8" w:rsidRDefault="000406CC" w:rsidP="00E169D8">
      <w:pPr>
        <w:spacing w:after="0" w:line="259" w:lineRule="auto"/>
        <w:ind w:left="305" w:right="0"/>
        <w:jc w:val="left"/>
        <w:rPr>
          <w:b/>
        </w:rPr>
      </w:pPr>
      <w:r>
        <w:rPr>
          <w:b/>
        </w:rPr>
        <w:t xml:space="preserve"> Date of Issue:    </w:t>
      </w:r>
      <w:r w:rsidR="00E169D8">
        <w:rPr>
          <w:b/>
        </w:rPr>
        <w:t xml:space="preserve">               </w:t>
      </w:r>
      <w:r>
        <w:rPr>
          <w:b/>
        </w:rPr>
        <w:t>1</w:t>
      </w:r>
      <w:r>
        <w:rPr>
          <w:b/>
          <w:vertAlign w:val="superscript"/>
        </w:rPr>
        <w:t>st</w:t>
      </w:r>
      <w:r>
        <w:rPr>
          <w:b/>
        </w:rPr>
        <w:t xml:space="preserve"> March 2013 </w:t>
      </w:r>
    </w:p>
    <w:p w:rsidR="00EF0C65" w:rsidRDefault="000406CC">
      <w:pPr>
        <w:spacing w:after="0" w:line="259" w:lineRule="auto"/>
        <w:ind w:left="305" w:right="0"/>
        <w:jc w:val="left"/>
      </w:pPr>
      <w:r>
        <w:rPr>
          <w:b/>
        </w:rPr>
        <w:t xml:space="preserve">Version No.:     </w:t>
      </w:r>
      <w:r w:rsidR="00E169D8">
        <w:rPr>
          <w:b/>
        </w:rPr>
        <w:t xml:space="preserve">                 </w:t>
      </w:r>
      <w:r>
        <w:rPr>
          <w:b/>
        </w:rPr>
        <w:t xml:space="preserve">01 </w:t>
      </w:r>
      <w:r>
        <w:t xml:space="preserve"> </w:t>
      </w:r>
    </w:p>
    <w:p w:rsidR="00E169D8" w:rsidRDefault="00E169D8">
      <w:pPr>
        <w:spacing w:after="0" w:line="259" w:lineRule="auto"/>
        <w:ind w:left="305" w:right="0"/>
        <w:jc w:val="left"/>
      </w:pPr>
    </w:p>
    <w:p w:rsidR="00E169D8" w:rsidRDefault="00E169D8">
      <w:pPr>
        <w:spacing w:after="0" w:line="259" w:lineRule="auto"/>
        <w:ind w:left="305" w:right="0"/>
        <w:jc w:val="left"/>
      </w:pPr>
    </w:p>
    <w:p w:rsidR="00EF0C65" w:rsidRDefault="000406CC">
      <w:pPr>
        <w:spacing w:after="0" w:line="243" w:lineRule="auto"/>
        <w:ind w:left="314" w:right="9664" w:firstLine="0"/>
        <w:jc w:val="left"/>
      </w:pPr>
      <w:r>
        <w:rPr>
          <w:rFonts w:ascii="Trebuchet MS" w:eastAsia="Trebuchet MS" w:hAnsi="Trebuchet MS" w:cs="Trebuchet MS"/>
          <w:b/>
        </w:rPr>
        <w:t xml:space="preserve"> </w:t>
      </w:r>
      <w:r>
        <w:rPr>
          <w:b/>
        </w:rPr>
        <w:t xml:space="preserve"> </w:t>
      </w:r>
      <w:r>
        <w:t xml:space="preserve"> </w:t>
      </w:r>
      <w:r>
        <w:rPr>
          <w:b/>
          <w:sz w:val="28"/>
        </w:rPr>
        <w:t xml:space="preserve"> </w:t>
      </w:r>
      <w:r>
        <w:t xml:space="preserve"> </w:t>
      </w:r>
    </w:p>
    <w:p w:rsidR="00EF0C65" w:rsidRDefault="000406CC">
      <w:pPr>
        <w:spacing w:after="210" w:line="259" w:lineRule="auto"/>
        <w:ind w:left="314" w:right="0" w:firstLine="0"/>
        <w:jc w:val="left"/>
      </w:pPr>
      <w:r>
        <w:rPr>
          <w:b/>
          <w:sz w:val="28"/>
        </w:rPr>
        <w:t xml:space="preserve"> </w:t>
      </w:r>
      <w:r>
        <w:t xml:space="preserve"> </w:t>
      </w:r>
    </w:p>
    <w:p w:rsidR="00EF0C65" w:rsidRDefault="000406CC">
      <w:pPr>
        <w:spacing w:after="185" w:line="259" w:lineRule="auto"/>
        <w:ind w:left="310" w:right="0"/>
        <w:jc w:val="left"/>
      </w:pPr>
      <w:r>
        <w:rPr>
          <w:b/>
          <w:sz w:val="28"/>
        </w:rPr>
        <w:lastRenderedPageBreak/>
        <w:t xml:space="preserve">TABLE OF CONTENT </w:t>
      </w:r>
      <w:r>
        <w:t xml:space="preserve"> </w:t>
      </w:r>
    </w:p>
    <w:sdt>
      <w:sdtPr>
        <w:id w:val="1800954120"/>
        <w:docPartObj>
          <w:docPartGallery w:val="Table of Contents"/>
        </w:docPartObj>
      </w:sdtPr>
      <w:sdtEndPr/>
      <w:sdtContent>
        <w:p w:rsidR="00EF0C65" w:rsidRDefault="000406CC">
          <w:pPr>
            <w:pStyle w:val="TOC1"/>
            <w:tabs>
              <w:tab w:val="right" w:leader="dot" w:pos="10171"/>
            </w:tabs>
          </w:pPr>
          <w:r>
            <w:fldChar w:fldCharType="begin"/>
          </w:r>
          <w:r>
            <w:instrText xml:space="preserve"> TOC \o "1-3" \h \z \u </w:instrText>
          </w:r>
          <w:r>
            <w:fldChar w:fldCharType="separate"/>
          </w:r>
          <w:hyperlink w:anchor="_Toc10933">
            <w:r>
              <w:t>1.</w:t>
            </w:r>
            <w:r>
              <w:rPr>
                <w:rFonts w:ascii="Arial" w:eastAsia="Arial" w:hAnsi="Arial" w:cs="Arial"/>
              </w:rPr>
              <w:t xml:space="preserve"> </w:t>
            </w:r>
            <w:r>
              <w:t xml:space="preserve">SCOPE  </w:t>
            </w:r>
            <w:r>
              <w:tab/>
            </w:r>
            <w:r>
              <w:fldChar w:fldCharType="begin"/>
            </w:r>
            <w:r>
              <w:instrText>PAGEREF _Toc10933 \h</w:instrText>
            </w:r>
            <w:r>
              <w:fldChar w:fldCharType="separate"/>
            </w:r>
            <w:r>
              <w:t xml:space="preserve">3 </w:t>
            </w:r>
            <w:r>
              <w:fldChar w:fldCharType="end"/>
            </w:r>
          </w:hyperlink>
        </w:p>
        <w:p w:rsidR="00EF0C65" w:rsidRDefault="000406CC">
          <w:pPr>
            <w:pStyle w:val="TOC1"/>
            <w:tabs>
              <w:tab w:val="right" w:leader="dot" w:pos="10171"/>
            </w:tabs>
          </w:pPr>
          <w:hyperlink w:anchor="_Toc10934">
            <w:r>
              <w:t>2.</w:t>
            </w:r>
            <w:r>
              <w:rPr>
                <w:rFonts w:ascii="Arial" w:eastAsia="Arial" w:hAnsi="Arial" w:cs="Arial"/>
              </w:rPr>
              <w:t xml:space="preserve"> </w:t>
            </w:r>
            <w:r>
              <w:t>INTERPRETATION</w:t>
            </w:r>
            <w:r>
              <w:tab/>
            </w:r>
            <w:r>
              <w:fldChar w:fldCharType="begin"/>
            </w:r>
            <w:r>
              <w:instrText>PAGEREF _Toc10934 \h</w:instrText>
            </w:r>
            <w:r>
              <w:fldChar w:fldCharType="separate"/>
            </w:r>
            <w:r>
              <w:t xml:space="preserve">3 </w:t>
            </w:r>
            <w:r>
              <w:fldChar w:fldCharType="end"/>
            </w:r>
          </w:hyperlink>
        </w:p>
        <w:p w:rsidR="00EF0C65" w:rsidRDefault="000406CC">
          <w:pPr>
            <w:pStyle w:val="TOC1"/>
            <w:tabs>
              <w:tab w:val="right" w:leader="dot" w:pos="10171"/>
            </w:tabs>
          </w:pPr>
          <w:hyperlink w:anchor="_Toc10935">
            <w:r>
              <w:t>3.</w:t>
            </w:r>
            <w:r>
              <w:rPr>
                <w:rFonts w:ascii="Arial" w:eastAsia="Arial" w:hAnsi="Arial" w:cs="Arial"/>
              </w:rPr>
              <w:t xml:space="preserve"> </w:t>
            </w:r>
            <w:r>
              <w:t>REQUIREMENTS</w:t>
            </w:r>
            <w:r>
              <w:tab/>
            </w:r>
            <w:r>
              <w:fldChar w:fldCharType="begin"/>
            </w:r>
            <w:r>
              <w:instrText>PAGEREF _Toc10935 \h</w:instrText>
            </w:r>
            <w:r>
              <w:fldChar w:fldCharType="separate"/>
            </w:r>
            <w:r>
              <w:t xml:space="preserve">4 </w:t>
            </w:r>
            <w:r>
              <w:fldChar w:fldCharType="end"/>
            </w:r>
          </w:hyperlink>
        </w:p>
        <w:p w:rsidR="00EF0C65" w:rsidRDefault="000406CC">
          <w:pPr>
            <w:pStyle w:val="TOC2"/>
            <w:tabs>
              <w:tab w:val="right" w:leader="dot" w:pos="10171"/>
            </w:tabs>
          </w:pPr>
          <w:hyperlink w:anchor="_Toc10936">
            <w:r>
              <w:t>3.1.</w:t>
            </w:r>
            <w:r>
              <w:rPr>
                <w:rFonts w:ascii="Arial" w:eastAsia="Arial" w:hAnsi="Arial" w:cs="Arial"/>
              </w:rPr>
              <w:t xml:space="preserve">  </w:t>
            </w:r>
            <w:r>
              <w:t>GENERAL REQUIREMENTS</w:t>
            </w:r>
            <w:r>
              <w:tab/>
            </w:r>
            <w:r>
              <w:fldChar w:fldCharType="begin"/>
            </w:r>
            <w:r>
              <w:instrText>PA</w:instrText>
            </w:r>
            <w:r>
              <w:instrText>GEREF _Toc10936 \h</w:instrText>
            </w:r>
            <w:r>
              <w:fldChar w:fldCharType="separate"/>
            </w:r>
            <w:r>
              <w:t xml:space="preserve">4 </w:t>
            </w:r>
            <w:r>
              <w:fldChar w:fldCharType="end"/>
            </w:r>
          </w:hyperlink>
        </w:p>
        <w:p w:rsidR="00EF0C65" w:rsidRDefault="000406CC">
          <w:pPr>
            <w:pStyle w:val="TOC3"/>
            <w:tabs>
              <w:tab w:val="right" w:leader="dot" w:pos="10171"/>
            </w:tabs>
          </w:pPr>
          <w:hyperlink w:anchor="_Toc10937">
            <w:r>
              <w:t>3.2.</w:t>
            </w:r>
            <w:r>
              <w:rPr>
                <w:rFonts w:ascii="Arial" w:eastAsia="Arial" w:hAnsi="Arial" w:cs="Arial"/>
              </w:rPr>
              <w:t xml:space="preserve">  </w:t>
            </w:r>
            <w:r>
              <w:t>SPECIFIC REQUIREMENTS</w:t>
            </w:r>
            <w:r>
              <w:tab/>
            </w:r>
            <w:r>
              <w:fldChar w:fldCharType="begin"/>
            </w:r>
            <w:r>
              <w:instrText>PAGEREF _Toc10937 \h</w:instrText>
            </w:r>
            <w:r>
              <w:fldChar w:fldCharType="separate"/>
            </w:r>
            <w:r>
              <w:t xml:space="preserve">5 </w:t>
            </w:r>
            <w:r>
              <w:fldChar w:fldCharType="end"/>
            </w:r>
          </w:hyperlink>
        </w:p>
        <w:p w:rsidR="00EF0C65" w:rsidRDefault="000406CC">
          <w:pPr>
            <w:pStyle w:val="TOC3"/>
            <w:tabs>
              <w:tab w:val="right" w:leader="dot" w:pos="10171"/>
            </w:tabs>
          </w:pPr>
          <w:hyperlink w:anchor="_Toc10938">
            <w:r>
              <w:t>3.3.</w:t>
            </w:r>
            <w:r>
              <w:rPr>
                <w:rFonts w:ascii="Arial" w:eastAsia="Arial" w:hAnsi="Arial" w:cs="Arial"/>
              </w:rPr>
              <w:t xml:space="preserve">  </w:t>
            </w:r>
            <w:r>
              <w:t>QUALITY SPECIFICATIONS</w:t>
            </w:r>
            <w:r>
              <w:tab/>
            </w:r>
            <w:r>
              <w:fldChar w:fldCharType="begin"/>
            </w:r>
            <w:r>
              <w:instrText>PAGEREF _Toc10938 \h</w:instrText>
            </w:r>
            <w:r>
              <w:fldChar w:fldCharType="separate"/>
            </w:r>
            <w:r>
              <w:t xml:space="preserve">5 </w:t>
            </w:r>
            <w:r>
              <w:fldChar w:fldCharType="end"/>
            </w:r>
          </w:hyperlink>
        </w:p>
        <w:p w:rsidR="00EF0C65" w:rsidRDefault="000406CC">
          <w:pPr>
            <w:pStyle w:val="TOC3"/>
            <w:tabs>
              <w:tab w:val="right" w:leader="dot" w:pos="10171"/>
            </w:tabs>
          </w:pPr>
          <w:hyperlink w:anchor="_Toc10939">
            <w:r>
              <w:t>3.4.</w:t>
            </w:r>
            <w:r>
              <w:rPr>
                <w:rFonts w:ascii="Arial" w:eastAsia="Arial" w:hAnsi="Arial" w:cs="Arial"/>
              </w:rPr>
              <w:t xml:space="preserve">  </w:t>
            </w:r>
            <w:r>
              <w:t>EVIDENCE OF CLAIM</w:t>
            </w:r>
            <w:r>
              <w:tab/>
            </w:r>
            <w:r>
              <w:fldChar w:fldCharType="begin"/>
            </w:r>
            <w:r>
              <w:instrText>PAGEREF _Toc10939 \h</w:instrText>
            </w:r>
            <w:r>
              <w:fldChar w:fldCharType="separate"/>
            </w:r>
            <w:r>
              <w:t xml:space="preserve">7 </w:t>
            </w:r>
            <w:r>
              <w:fldChar w:fldCharType="end"/>
            </w:r>
          </w:hyperlink>
        </w:p>
        <w:p w:rsidR="00EF0C65" w:rsidRDefault="000406CC">
          <w:r>
            <w:fldChar w:fldCharType="end"/>
          </w:r>
        </w:p>
      </w:sdtContent>
    </w:sdt>
    <w:p w:rsidR="00EF0C65" w:rsidRDefault="000406CC">
      <w:pPr>
        <w:spacing w:after="37" w:line="259" w:lineRule="auto"/>
        <w:ind w:left="674" w:right="0" w:firstLine="0"/>
        <w:jc w:val="left"/>
      </w:pPr>
      <w:r>
        <w:t xml:space="preserve"> </w:t>
      </w:r>
    </w:p>
    <w:p w:rsidR="00EF0C65" w:rsidRDefault="000406CC">
      <w:pPr>
        <w:numPr>
          <w:ilvl w:val="0"/>
          <w:numId w:val="1"/>
        </w:numPr>
        <w:spacing w:after="317"/>
        <w:ind w:right="808" w:hanging="360"/>
      </w:pPr>
      <w:r>
        <w:t xml:space="preserve">SANCTIONS…………………………………………………………………...8  </w:t>
      </w:r>
    </w:p>
    <w:p w:rsidR="00EF0C65" w:rsidRDefault="000406CC">
      <w:pPr>
        <w:numPr>
          <w:ilvl w:val="0"/>
          <w:numId w:val="1"/>
        </w:numPr>
        <w:spacing w:after="230"/>
        <w:ind w:right="808" w:hanging="360"/>
      </w:pPr>
      <w:r>
        <w:t xml:space="preserve">PENALTIES…………………………………………………………………….9  </w:t>
      </w:r>
    </w:p>
    <w:p w:rsidR="00EF0C65" w:rsidRDefault="000406CC">
      <w:pPr>
        <w:spacing w:after="0" w:line="267" w:lineRule="auto"/>
        <w:ind w:left="314" w:right="9664" w:firstLine="0"/>
        <w:jc w:val="left"/>
      </w:pPr>
      <w:r>
        <w:rPr>
          <w:rFonts w:ascii="Trebuchet MS" w:eastAsia="Trebuchet MS" w:hAnsi="Trebuchet MS" w:cs="Trebuchet MS"/>
        </w:rPr>
        <w:t xml:space="preserve"> </w:t>
      </w:r>
      <w:r>
        <w:t xml:space="preserve"> </w:t>
      </w:r>
      <w:r>
        <w:rPr>
          <w:rFonts w:ascii="Trebuchet MS" w:eastAsia="Trebuchet MS" w:hAnsi="Trebuchet MS" w:cs="Trebuchet MS"/>
        </w:rPr>
        <w:t xml:space="preserve"> </w:t>
      </w: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43" w:line="259" w:lineRule="auto"/>
        <w:ind w:left="314" w:right="0" w:firstLine="0"/>
        <w:jc w:val="left"/>
      </w:pPr>
      <w:r>
        <w:rPr>
          <w:b/>
        </w:rPr>
        <w:t xml:space="preserve"> </w:t>
      </w:r>
      <w:r>
        <w:t xml:space="preserve"> </w:t>
      </w:r>
    </w:p>
    <w:p w:rsidR="00EF0C65" w:rsidRDefault="000406CC">
      <w:pPr>
        <w:spacing w:after="0" w:line="259" w:lineRule="auto"/>
        <w:ind w:left="0" w:right="79" w:firstLine="0"/>
        <w:jc w:val="right"/>
      </w:pPr>
      <w:r>
        <w:rPr>
          <w:b/>
        </w:rPr>
        <w:t xml:space="preserve"> </w:t>
      </w: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spacing w:after="0" w:line="259" w:lineRule="auto"/>
        <w:ind w:left="314" w:right="0" w:firstLine="0"/>
        <w:jc w:val="left"/>
      </w:pPr>
      <w:r>
        <w:rPr>
          <w:b/>
        </w:rPr>
        <w:lastRenderedPageBreak/>
        <w:t xml:space="preserve"> </w:t>
      </w:r>
      <w:r>
        <w:t xml:space="preserve"> </w:t>
      </w:r>
    </w:p>
    <w:p w:rsidR="00EF0C65" w:rsidRDefault="000406CC">
      <w:pPr>
        <w:spacing w:after="45" w:line="259" w:lineRule="auto"/>
        <w:ind w:left="314" w:right="0" w:firstLine="0"/>
        <w:jc w:val="left"/>
      </w:pPr>
      <w:r>
        <w:rPr>
          <w:b/>
        </w:rPr>
        <w:t xml:space="preserve"> </w:t>
      </w:r>
      <w:r>
        <w:t xml:space="preserve"> </w:t>
      </w:r>
    </w:p>
    <w:p w:rsidR="00EF0C65" w:rsidRDefault="000406CC">
      <w:pPr>
        <w:spacing w:after="3" w:line="259" w:lineRule="auto"/>
        <w:ind w:left="3473" w:right="0" w:hanging="2794"/>
        <w:jc w:val="left"/>
      </w:pPr>
      <w:r>
        <w:rPr>
          <w:b/>
          <w:sz w:val="28"/>
        </w:rPr>
        <w:t xml:space="preserve">GUIDELINE FOR THE REGISTRATION OF HERBAL MEDICINAL PRODUCTS IN GHANA </w:t>
      </w:r>
      <w:r>
        <w:t xml:space="preserve"> </w:t>
      </w:r>
    </w:p>
    <w:p w:rsidR="00EF0C65" w:rsidRDefault="000406CC">
      <w:pPr>
        <w:spacing w:after="62" w:line="259" w:lineRule="auto"/>
        <w:ind w:left="314" w:right="0" w:firstLine="0"/>
        <w:jc w:val="left"/>
      </w:pPr>
      <w:r>
        <w:rPr>
          <w:b/>
        </w:rPr>
        <w:t xml:space="preserve"> </w:t>
      </w:r>
    </w:p>
    <w:p w:rsidR="00EF0C65" w:rsidRDefault="000406CC">
      <w:pPr>
        <w:pStyle w:val="Heading1"/>
        <w:tabs>
          <w:tab w:val="center" w:pos="420"/>
          <w:tab w:val="center" w:pos="1504"/>
        </w:tabs>
        <w:ind w:left="-15" w:firstLine="0"/>
      </w:pPr>
      <w:bookmarkStart w:id="0" w:name="_Toc10933"/>
      <w:r>
        <w:rPr>
          <w:rFonts w:ascii="Calibri" w:eastAsia="Calibri" w:hAnsi="Calibri" w:cs="Calibri"/>
          <w:b w:val="0"/>
          <w:sz w:val="22"/>
        </w:rPr>
        <w:t xml:space="preserve"> </w:t>
      </w: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SCOPE  </w:t>
      </w:r>
      <w:bookmarkEnd w:id="0"/>
    </w:p>
    <w:p w:rsidR="00EF0C65" w:rsidRDefault="000406CC">
      <w:pPr>
        <w:spacing w:after="0" w:line="259" w:lineRule="auto"/>
        <w:ind w:left="1034" w:right="0" w:firstLine="0"/>
        <w:jc w:val="left"/>
      </w:pPr>
      <w:r>
        <w:t xml:space="preserve">  </w:t>
      </w:r>
    </w:p>
    <w:p w:rsidR="00EF0C65" w:rsidRDefault="000406CC">
      <w:pPr>
        <w:ind w:left="295" w:right="808"/>
      </w:pPr>
      <w:r>
        <w:t xml:space="preserve">In pursuance of Section 118 of the Public Health Act 2012, Act 851 this Guideline is made to provide guidance to applicants on the procedure for registering a Herbal Medicinal Product in Ghana. Applicants are encouraged to familiarize themselves with this </w:t>
      </w:r>
      <w:r>
        <w:t xml:space="preserve">document and the above law before completing the registration form.  </w:t>
      </w:r>
    </w:p>
    <w:p w:rsidR="00EF0C65" w:rsidRDefault="000406CC">
      <w:pPr>
        <w:spacing w:after="65" w:line="259" w:lineRule="auto"/>
        <w:ind w:left="314" w:right="0" w:firstLine="0"/>
        <w:jc w:val="left"/>
      </w:pPr>
      <w:r>
        <w:t xml:space="preserve">  </w:t>
      </w:r>
    </w:p>
    <w:p w:rsidR="00EF0C65" w:rsidRDefault="000406CC">
      <w:pPr>
        <w:pStyle w:val="Heading1"/>
        <w:tabs>
          <w:tab w:val="center" w:pos="420"/>
          <w:tab w:val="center" w:pos="2313"/>
        </w:tabs>
        <w:ind w:left="-15" w:firstLine="0"/>
      </w:pPr>
      <w:bookmarkStart w:id="1" w:name="_Toc10934"/>
      <w:r>
        <w:rPr>
          <w:rFonts w:ascii="Calibri" w:eastAsia="Calibri" w:hAnsi="Calibri" w:cs="Calibri"/>
          <w:b w:val="0"/>
          <w:sz w:val="22"/>
        </w:rPr>
        <w:t xml:space="preserve"> </w:t>
      </w: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INTERPRETATION  </w:t>
      </w:r>
      <w:bookmarkEnd w:id="1"/>
    </w:p>
    <w:p w:rsidR="00EF0C65" w:rsidRDefault="000406CC">
      <w:pPr>
        <w:spacing w:after="0" w:line="259" w:lineRule="auto"/>
        <w:ind w:left="314" w:right="0" w:firstLine="0"/>
        <w:jc w:val="left"/>
      </w:pPr>
      <w:r>
        <w:rPr>
          <w:b/>
        </w:rPr>
        <w:t xml:space="preserve"> </w:t>
      </w:r>
      <w:r>
        <w:t xml:space="preserve"> </w:t>
      </w:r>
    </w:p>
    <w:p w:rsidR="00EF0C65" w:rsidRDefault="000406CC">
      <w:pPr>
        <w:ind w:left="295" w:right="808"/>
      </w:pPr>
      <w:r>
        <w:t xml:space="preserve">In this guideline, unless the context otherwise states: -  </w:t>
      </w:r>
    </w:p>
    <w:p w:rsidR="00EF0C65" w:rsidRDefault="000406CC">
      <w:pPr>
        <w:spacing w:after="15" w:line="259" w:lineRule="auto"/>
        <w:ind w:left="314" w:right="0" w:firstLine="0"/>
        <w:jc w:val="left"/>
      </w:pPr>
      <w:r>
        <w:t xml:space="preserve">  </w:t>
      </w:r>
    </w:p>
    <w:p w:rsidR="00EF0C65" w:rsidRDefault="000406CC">
      <w:pPr>
        <w:ind w:left="295" w:right="808"/>
      </w:pPr>
      <w:r>
        <w:rPr>
          <w:b/>
        </w:rPr>
        <w:t>“AUTHORITY”</w:t>
      </w:r>
      <w:r>
        <w:t xml:space="preserve"> means Food and Drugs Authority  </w:t>
      </w:r>
    </w:p>
    <w:p w:rsidR="00EF0C65" w:rsidRDefault="000406CC">
      <w:pPr>
        <w:spacing w:after="13" w:line="259" w:lineRule="auto"/>
        <w:ind w:left="314" w:right="0" w:firstLine="0"/>
        <w:jc w:val="left"/>
      </w:pPr>
      <w:r>
        <w:t xml:space="preserve">  </w:t>
      </w:r>
    </w:p>
    <w:p w:rsidR="00EF0C65" w:rsidRDefault="000406CC">
      <w:pPr>
        <w:ind w:left="295" w:right="808"/>
      </w:pPr>
      <w:r>
        <w:rPr>
          <w:b/>
        </w:rPr>
        <w:t xml:space="preserve">“PRODUCT” </w:t>
      </w:r>
      <w:r>
        <w:t>means Herbal</w:t>
      </w:r>
      <w:r>
        <w:rPr>
          <w:b/>
        </w:rPr>
        <w:t xml:space="preserve"> </w:t>
      </w:r>
      <w:r>
        <w:t>medicinal</w:t>
      </w:r>
      <w:r>
        <w:rPr>
          <w:b/>
        </w:rPr>
        <w:t xml:space="preserve"> </w:t>
      </w:r>
      <w:r>
        <w:t xml:space="preserve">product     </w:t>
      </w:r>
    </w:p>
    <w:p w:rsidR="00EF0C65" w:rsidRDefault="000406CC">
      <w:pPr>
        <w:spacing w:after="0" w:line="259" w:lineRule="auto"/>
        <w:ind w:left="314" w:right="0" w:firstLine="0"/>
        <w:jc w:val="left"/>
      </w:pPr>
      <w:r>
        <w:t xml:space="preserve">  </w:t>
      </w:r>
    </w:p>
    <w:p w:rsidR="00EF0C65" w:rsidRDefault="000406CC">
      <w:pPr>
        <w:ind w:left="295" w:right="808"/>
      </w:pPr>
      <w:r>
        <w:rPr>
          <w:b/>
        </w:rPr>
        <w:t>“APPLICANT</w:t>
      </w:r>
      <w:r>
        <w:t xml:space="preserve">” means the product owner or license holder. Representatives of license holders may not hold themselves as applicants unless they own the product.  </w:t>
      </w:r>
    </w:p>
    <w:p w:rsidR="00EF0C65" w:rsidRDefault="000406CC">
      <w:pPr>
        <w:spacing w:after="24" w:line="259" w:lineRule="auto"/>
        <w:ind w:left="314" w:right="0" w:firstLine="0"/>
        <w:jc w:val="left"/>
      </w:pPr>
      <w:r>
        <w:t xml:space="preserve">  </w:t>
      </w:r>
    </w:p>
    <w:p w:rsidR="00EF0C65" w:rsidRDefault="000406CC">
      <w:pPr>
        <w:ind w:left="295" w:right="808"/>
      </w:pPr>
      <w:r>
        <w:rPr>
          <w:b/>
        </w:rPr>
        <w:t xml:space="preserve">“HERBAL MEDICINAL PRODUCT” means </w:t>
      </w:r>
      <w:r>
        <w:t>any finished labeled medicinal product that contains active ingredients</w:t>
      </w:r>
      <w:r>
        <w:t xml:space="preserve">, aerial or underground parts of the plant or other plant material or combination used for the purposes of treatment or prevention of a disease or altering normal physiological function, permanently or temporarily in any way in humans.  </w:t>
      </w:r>
    </w:p>
    <w:p w:rsidR="00EF0C65" w:rsidRDefault="000406CC">
      <w:pPr>
        <w:spacing w:after="0" w:line="259" w:lineRule="auto"/>
        <w:ind w:left="314" w:right="0" w:firstLine="0"/>
        <w:jc w:val="left"/>
      </w:pPr>
      <w:r>
        <w:t xml:space="preserve">  </w:t>
      </w:r>
    </w:p>
    <w:p w:rsidR="00EF0C65" w:rsidRDefault="000406CC">
      <w:pPr>
        <w:ind w:left="295" w:right="808"/>
      </w:pPr>
      <w:r>
        <w:t xml:space="preserve">Or  </w:t>
      </w:r>
    </w:p>
    <w:p w:rsidR="00EF0C65" w:rsidRDefault="000406CC">
      <w:pPr>
        <w:spacing w:after="0" w:line="259" w:lineRule="auto"/>
        <w:ind w:left="314" w:right="0" w:firstLine="0"/>
        <w:jc w:val="left"/>
      </w:pPr>
      <w:r>
        <w:t xml:space="preserve">  </w:t>
      </w:r>
    </w:p>
    <w:p w:rsidR="00EF0C65" w:rsidRDefault="000406CC">
      <w:pPr>
        <w:ind w:left="295" w:right="808"/>
      </w:pPr>
      <w:r>
        <w:t>Include</w:t>
      </w:r>
      <w:r>
        <w:t xml:space="preserve">s plant-derived material preparations with therapeutic or any other human health benefits which contain raw or processed ingredients from one or more plants and materials of organic or animal origin.  </w:t>
      </w:r>
    </w:p>
    <w:p w:rsidR="00EF0C65" w:rsidRDefault="000406CC">
      <w:pPr>
        <w:spacing w:after="0" w:line="259" w:lineRule="auto"/>
        <w:ind w:left="314" w:right="0" w:firstLine="0"/>
        <w:jc w:val="left"/>
      </w:pPr>
      <w:r>
        <w:t xml:space="preserve">  </w:t>
      </w:r>
    </w:p>
    <w:p w:rsidR="00EF0C65" w:rsidRDefault="000406CC">
      <w:pPr>
        <w:spacing w:after="7" w:line="259" w:lineRule="auto"/>
        <w:ind w:left="314" w:right="0" w:firstLine="0"/>
        <w:jc w:val="left"/>
      </w:pPr>
      <w:r>
        <w:t xml:space="preserve">  </w:t>
      </w:r>
    </w:p>
    <w:p w:rsidR="00EF0C65" w:rsidRDefault="000406CC">
      <w:pPr>
        <w:ind w:left="295" w:right="808"/>
      </w:pPr>
      <w:r>
        <w:rPr>
          <w:b/>
        </w:rPr>
        <w:t xml:space="preserve">“VARIATION” </w:t>
      </w:r>
      <w:r>
        <w:t>means a change in the indication(s),</w:t>
      </w:r>
      <w:r>
        <w:t xml:space="preserve"> dosage recommendation (s), drugs classification and / or patients group(s) for a previously registered Herbal medicinal product been marketed under the same name in Ghana.  </w:t>
      </w:r>
    </w:p>
    <w:p w:rsidR="00EF0C65" w:rsidRDefault="000406CC">
      <w:pPr>
        <w:spacing w:after="0" w:line="259" w:lineRule="auto"/>
        <w:ind w:left="314" w:right="0" w:firstLine="0"/>
        <w:jc w:val="left"/>
      </w:pPr>
      <w:r>
        <w:t xml:space="preserve">   </w:t>
      </w:r>
    </w:p>
    <w:p w:rsidR="00EF0C65" w:rsidRDefault="000406CC">
      <w:pPr>
        <w:ind w:left="295" w:right="808"/>
      </w:pPr>
      <w:r>
        <w:t xml:space="preserve">A variation also includes, but not limited to, a change in the product name, </w:t>
      </w:r>
      <w:r>
        <w:t xml:space="preserve">site of manufacture and / or source of ingredients.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lastRenderedPageBreak/>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rPr>
          <w:b/>
        </w:rPr>
        <w:t xml:space="preserve"> </w:t>
      </w:r>
      <w:r>
        <w:t xml:space="preserve"> </w:t>
      </w:r>
    </w:p>
    <w:p w:rsidR="00EF0C65" w:rsidRDefault="000406CC">
      <w:pPr>
        <w:pStyle w:val="Heading1"/>
        <w:tabs>
          <w:tab w:val="center" w:pos="420"/>
          <w:tab w:val="center" w:pos="2111"/>
        </w:tabs>
        <w:ind w:left="-15" w:firstLine="0"/>
      </w:pPr>
      <w:bookmarkStart w:id="2" w:name="_Toc10935"/>
      <w:r>
        <w:rPr>
          <w:rFonts w:ascii="Calibri" w:eastAsia="Calibri" w:hAnsi="Calibri" w:cs="Calibri"/>
          <w:b w:val="0"/>
          <w:sz w:val="22"/>
        </w:rPr>
        <w:t xml:space="preserve"> </w:t>
      </w: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REQUIREMENT  </w:t>
      </w:r>
      <w:bookmarkEnd w:id="2"/>
    </w:p>
    <w:p w:rsidR="00EF0C65" w:rsidRDefault="000406CC">
      <w:pPr>
        <w:spacing w:after="21" w:line="259" w:lineRule="auto"/>
        <w:ind w:left="314" w:right="0" w:firstLine="0"/>
        <w:jc w:val="left"/>
      </w:pPr>
      <w:r>
        <w:rPr>
          <w:b/>
        </w:rPr>
        <w:t xml:space="preserve"> </w:t>
      </w:r>
      <w:r>
        <w:t xml:space="preserve"> </w:t>
      </w:r>
    </w:p>
    <w:p w:rsidR="00EF0C65" w:rsidRDefault="000406CC">
      <w:pPr>
        <w:pStyle w:val="Heading2"/>
        <w:tabs>
          <w:tab w:val="center" w:pos="479"/>
          <w:tab w:val="center" w:pos="2777"/>
        </w:tabs>
        <w:ind w:left="-15" w:firstLine="0"/>
      </w:pPr>
      <w:bookmarkStart w:id="3" w:name="_Toc10936"/>
      <w:r>
        <w:rPr>
          <w:rFonts w:ascii="Calibri" w:eastAsia="Calibri" w:hAnsi="Calibri" w:cs="Calibri"/>
          <w:b w:val="0"/>
          <w:sz w:val="22"/>
        </w:rPr>
        <w:t xml:space="preserve"> </w:t>
      </w:r>
      <w:r>
        <w:rPr>
          <w:rFonts w:ascii="Calibri" w:eastAsia="Calibri" w:hAnsi="Calibri" w:cs="Calibri"/>
          <w:b w:val="0"/>
          <w:sz w:val="22"/>
        </w:rPr>
        <w:tab/>
      </w:r>
      <w:r>
        <w:t>3.1</w:t>
      </w:r>
      <w:r>
        <w:rPr>
          <w:rFonts w:ascii="Arial" w:eastAsia="Arial" w:hAnsi="Arial" w:cs="Arial"/>
        </w:rPr>
        <w:t xml:space="preserve">  </w:t>
      </w:r>
      <w:r>
        <w:rPr>
          <w:rFonts w:ascii="Arial" w:eastAsia="Arial" w:hAnsi="Arial" w:cs="Arial"/>
        </w:rPr>
        <w:tab/>
      </w:r>
      <w:r>
        <w:t xml:space="preserve">GENERAL REQUIREMENTS  </w:t>
      </w:r>
      <w:bookmarkEnd w:id="3"/>
    </w:p>
    <w:p w:rsidR="00EF0C65" w:rsidRDefault="000406CC">
      <w:pPr>
        <w:spacing w:after="0" w:line="259" w:lineRule="auto"/>
        <w:ind w:left="314" w:right="0" w:firstLine="0"/>
        <w:jc w:val="left"/>
      </w:pPr>
      <w:r>
        <w:t xml:space="preserve">  </w:t>
      </w:r>
    </w:p>
    <w:p w:rsidR="00EF0C65" w:rsidRDefault="000406CC">
      <w:pPr>
        <w:pStyle w:val="Heading5"/>
        <w:ind w:left="305"/>
      </w:pPr>
      <w:r>
        <w:t xml:space="preserve">Registration </w:t>
      </w:r>
      <w:r>
        <w:rPr>
          <w:b w:val="0"/>
        </w:rPr>
        <w:t xml:space="preserve"> </w:t>
      </w:r>
    </w:p>
    <w:p w:rsidR="00EF0C65" w:rsidRDefault="000406CC">
      <w:pPr>
        <w:spacing w:after="1" w:line="259" w:lineRule="auto"/>
        <w:ind w:left="314" w:right="0" w:firstLine="0"/>
        <w:jc w:val="left"/>
      </w:pPr>
      <w:r>
        <w:rPr>
          <w:b/>
        </w:rPr>
        <w:t xml:space="preserve"> </w:t>
      </w:r>
      <w:r>
        <w:t xml:space="preserve"> </w:t>
      </w:r>
    </w:p>
    <w:p w:rsidR="00EF0C65" w:rsidRDefault="000406CC">
      <w:pPr>
        <w:numPr>
          <w:ilvl w:val="0"/>
          <w:numId w:val="2"/>
        </w:numPr>
        <w:ind w:right="808" w:hanging="360"/>
      </w:pPr>
      <w:r>
        <w:t xml:space="preserve">An application for the registration of Herbal medicinal product shall be made in writing.  </w:t>
      </w:r>
    </w:p>
    <w:p w:rsidR="00EF0C65" w:rsidRDefault="000406CC">
      <w:pPr>
        <w:numPr>
          <w:ilvl w:val="0"/>
          <w:numId w:val="2"/>
        </w:numPr>
        <w:ind w:right="808" w:hanging="360"/>
      </w:pPr>
      <w:r>
        <w:t xml:space="preserve">An application form shall be completed in accordance with the sequence of appendices dated, signed and stamped by the applicant/license holder.  </w:t>
      </w:r>
    </w:p>
    <w:p w:rsidR="00EF0C65" w:rsidRDefault="000406CC">
      <w:pPr>
        <w:spacing w:after="0" w:line="259" w:lineRule="auto"/>
        <w:ind w:left="314" w:right="0" w:firstLine="0"/>
        <w:jc w:val="left"/>
      </w:pPr>
      <w:r>
        <w:t xml:space="preserve">  </w:t>
      </w:r>
    </w:p>
    <w:p w:rsidR="00EF0C65" w:rsidRDefault="000406CC">
      <w:pPr>
        <w:spacing w:after="0" w:line="259" w:lineRule="auto"/>
        <w:ind w:left="305" w:right="0"/>
        <w:jc w:val="left"/>
      </w:pPr>
      <w:r>
        <w:rPr>
          <w:b/>
        </w:rPr>
        <w:t>All certificate</w:t>
      </w:r>
      <w:r>
        <w:rPr>
          <w:b/>
        </w:rPr>
        <w:t xml:space="preserve">s accompanying registration documents shall be submitted in English. </w:t>
      </w:r>
      <w:r>
        <w:t xml:space="preserve"> </w:t>
      </w:r>
    </w:p>
    <w:p w:rsidR="00EF0C65" w:rsidRDefault="000406CC">
      <w:pPr>
        <w:spacing w:after="1" w:line="259" w:lineRule="auto"/>
        <w:ind w:left="314" w:right="0" w:firstLine="0"/>
        <w:jc w:val="left"/>
      </w:pPr>
      <w:r>
        <w:rPr>
          <w:b/>
        </w:rPr>
        <w:t xml:space="preserve"> </w:t>
      </w:r>
      <w:r>
        <w:t xml:space="preserve"> </w:t>
      </w:r>
    </w:p>
    <w:p w:rsidR="00EF0C65" w:rsidRDefault="000406CC">
      <w:pPr>
        <w:numPr>
          <w:ilvl w:val="0"/>
          <w:numId w:val="2"/>
        </w:numPr>
        <w:ind w:right="808" w:hanging="360"/>
      </w:pPr>
      <w:r>
        <w:t xml:space="preserve">This shall be submitted in duplicate(hard and (or) soft copy) and accompanied by:  </w:t>
      </w:r>
    </w:p>
    <w:p w:rsidR="00EF0C65" w:rsidRDefault="000406CC">
      <w:pPr>
        <w:spacing w:after="1" w:line="259" w:lineRule="auto"/>
        <w:ind w:left="1034" w:right="0" w:firstLine="0"/>
        <w:jc w:val="left"/>
      </w:pPr>
      <w:r>
        <w:t xml:space="preserve">  </w:t>
      </w:r>
    </w:p>
    <w:p w:rsidR="00EF0C65" w:rsidRDefault="000406CC">
      <w:pPr>
        <w:numPr>
          <w:ilvl w:val="0"/>
          <w:numId w:val="3"/>
        </w:numPr>
        <w:spacing w:after="47"/>
        <w:ind w:right="808" w:hanging="660"/>
      </w:pPr>
      <w:r>
        <w:t xml:space="preserve">A covering letter addressed to the CEO of the Authority,   </w:t>
      </w:r>
    </w:p>
    <w:p w:rsidR="00EF0C65" w:rsidRDefault="000406CC">
      <w:pPr>
        <w:numPr>
          <w:ilvl w:val="0"/>
          <w:numId w:val="3"/>
        </w:numPr>
        <w:spacing w:after="37"/>
        <w:ind w:right="808" w:hanging="660"/>
      </w:pPr>
      <w:r>
        <w:t xml:space="preserve">Samples of the product as specified in the Authority’s samples Schedule, packed in the final package ready for sale.  </w:t>
      </w:r>
    </w:p>
    <w:p w:rsidR="00EF0C65" w:rsidRDefault="000406CC">
      <w:pPr>
        <w:numPr>
          <w:ilvl w:val="0"/>
          <w:numId w:val="3"/>
        </w:numPr>
        <w:ind w:right="808" w:hanging="660"/>
      </w:pPr>
      <w:r>
        <w:t xml:space="preserve">A non-refundable fee prescribed in the Authority’s approved fees Schedule.  </w:t>
      </w:r>
    </w:p>
    <w:p w:rsidR="00EF0C65" w:rsidRDefault="000406CC">
      <w:pPr>
        <w:spacing w:after="0" w:line="259" w:lineRule="auto"/>
        <w:ind w:left="314" w:right="0" w:firstLine="0"/>
        <w:jc w:val="left"/>
      </w:pPr>
      <w:r>
        <w:t xml:space="preserve">  </w:t>
      </w:r>
    </w:p>
    <w:p w:rsidR="00EF0C65" w:rsidRDefault="000406CC">
      <w:pPr>
        <w:pStyle w:val="Heading5"/>
        <w:ind w:left="305"/>
      </w:pPr>
      <w:r>
        <w:t xml:space="preserve">Registration Variation </w:t>
      </w:r>
      <w:r>
        <w:rPr>
          <w:b w:val="0"/>
        </w:rPr>
        <w:t xml:space="preserve"> </w:t>
      </w:r>
    </w:p>
    <w:p w:rsidR="00EF0C65" w:rsidRDefault="000406CC">
      <w:pPr>
        <w:spacing w:after="1" w:line="259" w:lineRule="auto"/>
        <w:ind w:left="314" w:right="0" w:firstLine="0"/>
        <w:jc w:val="left"/>
      </w:pPr>
      <w:r>
        <w:rPr>
          <w:b/>
        </w:rPr>
        <w:t xml:space="preserve"> </w:t>
      </w:r>
      <w:r>
        <w:t xml:space="preserve"> </w:t>
      </w:r>
    </w:p>
    <w:p w:rsidR="00EF0C65" w:rsidRDefault="000406CC">
      <w:pPr>
        <w:numPr>
          <w:ilvl w:val="0"/>
          <w:numId w:val="4"/>
        </w:numPr>
        <w:spacing w:after="7" w:line="234" w:lineRule="auto"/>
        <w:ind w:right="789" w:hanging="360"/>
        <w:jc w:val="left"/>
      </w:pPr>
      <w:r>
        <w:t>An application for the variation of registration of a product prior to re-registration shall be made to the Authority. This variation shall be approved by the Authority before any importation of the product shall be made into</w:t>
      </w:r>
      <w:r>
        <w:t xml:space="preserve"> the country.   </w:t>
      </w:r>
    </w:p>
    <w:p w:rsidR="00EF0C65" w:rsidRDefault="000406CC">
      <w:pPr>
        <w:spacing w:after="1" w:line="259" w:lineRule="auto"/>
        <w:ind w:left="314" w:right="0" w:firstLine="0"/>
        <w:jc w:val="left"/>
      </w:pPr>
      <w:r>
        <w:t xml:space="preserve">  </w:t>
      </w:r>
    </w:p>
    <w:p w:rsidR="00EF0C65" w:rsidRDefault="000406CC">
      <w:pPr>
        <w:numPr>
          <w:ilvl w:val="0"/>
          <w:numId w:val="4"/>
        </w:numPr>
        <w:ind w:right="789" w:hanging="360"/>
        <w:jc w:val="left"/>
      </w:pPr>
      <w:r>
        <w:t xml:space="preserve">The application shall be accompanied by:  </w:t>
      </w:r>
    </w:p>
    <w:p w:rsidR="00EF0C65" w:rsidRDefault="000406CC">
      <w:pPr>
        <w:spacing w:after="1" w:line="259" w:lineRule="auto"/>
        <w:ind w:left="314" w:right="0" w:firstLine="0"/>
        <w:jc w:val="left"/>
      </w:pPr>
      <w:r>
        <w:t xml:space="preserve">  </w:t>
      </w:r>
    </w:p>
    <w:p w:rsidR="00EF0C65" w:rsidRDefault="000406CC">
      <w:pPr>
        <w:numPr>
          <w:ilvl w:val="1"/>
          <w:numId w:val="4"/>
        </w:numPr>
        <w:spacing w:after="47"/>
        <w:ind w:right="808" w:firstLine="77"/>
      </w:pPr>
      <w:r>
        <w:t xml:space="preserve">Supporting documentation for the variation.  </w:t>
      </w:r>
    </w:p>
    <w:p w:rsidR="00EF0C65" w:rsidRDefault="000406CC">
      <w:pPr>
        <w:numPr>
          <w:ilvl w:val="1"/>
          <w:numId w:val="4"/>
        </w:numPr>
        <w:spacing w:after="30"/>
        <w:ind w:right="808" w:firstLine="77"/>
      </w:pPr>
      <w:r>
        <w:t>Samples reflecting the variation as specified in the Authority’s samples Schedule. III.</w:t>
      </w:r>
      <w:r>
        <w:rPr>
          <w:rFonts w:ascii="Arial" w:eastAsia="Arial" w:hAnsi="Arial" w:cs="Arial"/>
        </w:rPr>
        <w:t xml:space="preserve">  </w:t>
      </w:r>
      <w:r>
        <w:t xml:space="preserve">Non-refundable variation fee as specified in Authority’s approved fees Schedule.  </w:t>
      </w:r>
    </w:p>
    <w:p w:rsidR="00EF0C65" w:rsidRDefault="000406CC">
      <w:pPr>
        <w:spacing w:after="0" w:line="259" w:lineRule="auto"/>
        <w:ind w:left="103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pStyle w:val="Heading5"/>
        <w:ind w:left="305"/>
      </w:pPr>
      <w:r>
        <w:t xml:space="preserve">Re-Registration </w:t>
      </w:r>
      <w:r>
        <w:rPr>
          <w:b w:val="0"/>
        </w:rPr>
        <w:t xml:space="preserve"> </w:t>
      </w:r>
    </w:p>
    <w:p w:rsidR="00EF0C65" w:rsidRDefault="000406CC">
      <w:pPr>
        <w:spacing w:after="1" w:line="259" w:lineRule="auto"/>
        <w:ind w:left="314" w:right="0" w:firstLine="0"/>
        <w:jc w:val="left"/>
      </w:pPr>
      <w:r>
        <w:rPr>
          <w:b/>
        </w:rPr>
        <w:t xml:space="preserve"> </w:t>
      </w:r>
      <w:r>
        <w:t xml:space="preserve"> </w:t>
      </w:r>
    </w:p>
    <w:p w:rsidR="00EF0C65" w:rsidRDefault="000406CC">
      <w:pPr>
        <w:numPr>
          <w:ilvl w:val="0"/>
          <w:numId w:val="5"/>
        </w:numPr>
        <w:ind w:right="808" w:hanging="360"/>
      </w:pPr>
      <w:r>
        <w:t>An application for the re-registration of Herbal medicina</w:t>
      </w:r>
      <w:r>
        <w:t xml:space="preserve">l product should be made 3 (three) months before the expiration of the registration.  </w:t>
      </w:r>
    </w:p>
    <w:p w:rsidR="00EF0C65" w:rsidRDefault="000406CC">
      <w:pPr>
        <w:spacing w:after="1" w:line="259" w:lineRule="auto"/>
        <w:ind w:left="1034" w:right="0" w:firstLine="0"/>
        <w:jc w:val="left"/>
      </w:pPr>
      <w:r>
        <w:t xml:space="preserve">  </w:t>
      </w:r>
    </w:p>
    <w:p w:rsidR="00EF0C65" w:rsidRDefault="000406CC">
      <w:pPr>
        <w:numPr>
          <w:ilvl w:val="0"/>
          <w:numId w:val="5"/>
        </w:numPr>
        <w:ind w:right="808" w:hanging="360"/>
      </w:pPr>
      <w:r>
        <w:t xml:space="preserve">The application shall be accompanied by:  </w:t>
      </w:r>
    </w:p>
    <w:p w:rsidR="00EF0C65" w:rsidRDefault="000406CC">
      <w:pPr>
        <w:spacing w:after="1" w:line="259" w:lineRule="auto"/>
        <w:ind w:left="314" w:right="0" w:firstLine="0"/>
        <w:jc w:val="left"/>
      </w:pPr>
      <w:r>
        <w:t xml:space="preserve">  </w:t>
      </w:r>
    </w:p>
    <w:p w:rsidR="00EF0C65" w:rsidRDefault="000406CC">
      <w:pPr>
        <w:numPr>
          <w:ilvl w:val="0"/>
          <w:numId w:val="6"/>
        </w:numPr>
        <w:spacing w:after="48"/>
        <w:ind w:right="808" w:hanging="660"/>
      </w:pPr>
      <w:r>
        <w:t xml:space="preserve">Supporting documentation for any changes since the product was last registered  </w:t>
      </w:r>
    </w:p>
    <w:p w:rsidR="00EF0C65" w:rsidRDefault="000406CC">
      <w:pPr>
        <w:numPr>
          <w:ilvl w:val="0"/>
          <w:numId w:val="6"/>
        </w:numPr>
        <w:spacing w:after="42"/>
        <w:ind w:right="808" w:hanging="660"/>
      </w:pPr>
      <w:r>
        <w:lastRenderedPageBreak/>
        <w:t xml:space="preserve">Samples as specified in the Authority’s Sample Schedule.  </w:t>
      </w:r>
    </w:p>
    <w:p w:rsidR="00EF0C65" w:rsidRDefault="000406CC">
      <w:pPr>
        <w:numPr>
          <w:ilvl w:val="0"/>
          <w:numId w:val="6"/>
        </w:numPr>
        <w:ind w:right="808" w:hanging="660"/>
      </w:pPr>
      <w:r>
        <w:t>A non-</w:t>
      </w:r>
      <w:r>
        <w:t xml:space="preserve">refundable application fee as specified in the Authority’s Fee Schedule.  </w:t>
      </w:r>
    </w:p>
    <w:p w:rsidR="00EF0C65" w:rsidRDefault="000406CC" w:rsidP="00E169D8">
      <w:pPr>
        <w:spacing w:after="0" w:line="259" w:lineRule="auto"/>
        <w:ind w:left="314" w:right="0" w:firstLine="0"/>
        <w:jc w:val="left"/>
      </w:pPr>
      <w:r>
        <w:t xml:space="preserve">  </w:t>
      </w:r>
      <w:bookmarkStart w:id="4" w:name="_GoBack"/>
      <w:bookmarkEnd w:id="4"/>
      <w:r>
        <w:t xml:space="preserve"> </w:t>
      </w:r>
    </w:p>
    <w:p w:rsidR="00EF0C65" w:rsidRDefault="000406CC">
      <w:pPr>
        <w:spacing w:after="28" w:line="259" w:lineRule="auto"/>
        <w:ind w:left="314" w:right="0" w:firstLine="0"/>
        <w:jc w:val="left"/>
      </w:pPr>
      <w:r>
        <w:t xml:space="preserve">  </w:t>
      </w:r>
    </w:p>
    <w:p w:rsidR="00EF0C65" w:rsidRDefault="000406CC">
      <w:pPr>
        <w:pStyle w:val="Heading3"/>
        <w:tabs>
          <w:tab w:val="center" w:pos="479"/>
          <w:tab w:val="center" w:pos="2744"/>
        </w:tabs>
        <w:ind w:left="-15" w:firstLine="0"/>
      </w:pPr>
      <w:bookmarkStart w:id="5" w:name="_Toc10937"/>
      <w:r>
        <w:rPr>
          <w:rFonts w:ascii="Calibri" w:eastAsia="Calibri" w:hAnsi="Calibri" w:cs="Calibri"/>
          <w:b w:val="0"/>
          <w:sz w:val="22"/>
        </w:rPr>
        <w:t xml:space="preserve"> </w:t>
      </w:r>
      <w:r>
        <w:rPr>
          <w:rFonts w:ascii="Calibri" w:eastAsia="Calibri" w:hAnsi="Calibri" w:cs="Calibri"/>
          <w:b w:val="0"/>
          <w:sz w:val="22"/>
        </w:rPr>
        <w:tab/>
      </w:r>
      <w:r>
        <w:t>3.2</w:t>
      </w:r>
      <w:r>
        <w:rPr>
          <w:rFonts w:ascii="Arial" w:eastAsia="Arial" w:hAnsi="Arial" w:cs="Arial"/>
        </w:rPr>
        <w:t xml:space="preserve">  </w:t>
      </w:r>
      <w:r>
        <w:rPr>
          <w:rFonts w:ascii="Arial" w:eastAsia="Arial" w:hAnsi="Arial" w:cs="Arial"/>
        </w:rPr>
        <w:tab/>
      </w:r>
      <w:r>
        <w:t xml:space="preserve">SPECIFIC REQUIREMENTS  </w:t>
      </w:r>
      <w:bookmarkEnd w:id="5"/>
    </w:p>
    <w:p w:rsidR="00EF0C65" w:rsidRDefault="000406CC">
      <w:pPr>
        <w:spacing w:after="1" w:line="259" w:lineRule="auto"/>
        <w:ind w:left="314" w:right="0" w:firstLine="0"/>
        <w:jc w:val="left"/>
      </w:pPr>
      <w:r>
        <w:t xml:space="preserve">  </w:t>
      </w:r>
    </w:p>
    <w:p w:rsidR="00EF0C65" w:rsidRDefault="000406CC">
      <w:pPr>
        <w:numPr>
          <w:ilvl w:val="0"/>
          <w:numId w:val="7"/>
        </w:numPr>
        <w:ind w:right="808" w:hanging="360"/>
      </w:pPr>
      <w:r>
        <w:t xml:space="preserve">The presentation of the product shall not have any resemblance in spelling and pronunciation of name, or packaging to another </w:t>
      </w:r>
      <w:r>
        <w:t xml:space="preserve">product, that has been previously registered by the Authority.  </w:t>
      </w:r>
    </w:p>
    <w:p w:rsidR="00EF0C65" w:rsidRDefault="000406CC">
      <w:pPr>
        <w:spacing w:after="1" w:line="259" w:lineRule="auto"/>
        <w:ind w:left="1034" w:right="0" w:firstLine="0"/>
        <w:jc w:val="left"/>
      </w:pPr>
      <w:r>
        <w:t xml:space="preserve">  </w:t>
      </w:r>
    </w:p>
    <w:p w:rsidR="00EF0C65" w:rsidRDefault="000406CC">
      <w:pPr>
        <w:numPr>
          <w:ilvl w:val="0"/>
          <w:numId w:val="7"/>
        </w:numPr>
        <w:spacing w:after="33"/>
        <w:ind w:right="808" w:hanging="360"/>
      </w:pPr>
      <w:r>
        <w:t xml:space="preserve">All samples submitted should conform to existing labeling regulations as specified in the Authority’s guidelines for product labeling.  </w:t>
      </w:r>
    </w:p>
    <w:p w:rsidR="00EF0C65" w:rsidRDefault="000406CC">
      <w:pPr>
        <w:spacing w:after="221" w:line="259" w:lineRule="auto"/>
        <w:ind w:left="1034" w:right="0" w:firstLine="0"/>
        <w:jc w:val="left"/>
      </w:pPr>
      <w:r>
        <w:t xml:space="preserve">  </w:t>
      </w:r>
    </w:p>
    <w:p w:rsidR="00EF0C65" w:rsidRDefault="000406CC">
      <w:pPr>
        <w:numPr>
          <w:ilvl w:val="0"/>
          <w:numId w:val="7"/>
        </w:numPr>
        <w:ind w:right="808" w:hanging="360"/>
      </w:pPr>
      <w:r>
        <w:t>Scientific and/or botanical names of the plants used, as well as the parts of plants used and the quantity of active</w:t>
      </w:r>
      <w:r>
        <w:t xml:space="preserve"> ingredients used in the preparation, shall be submitted.  </w:t>
      </w:r>
    </w:p>
    <w:p w:rsidR="00EF0C65" w:rsidRDefault="000406CC">
      <w:pPr>
        <w:spacing w:after="1" w:line="259" w:lineRule="auto"/>
        <w:ind w:left="314" w:right="0" w:firstLine="0"/>
        <w:jc w:val="left"/>
      </w:pPr>
      <w:r>
        <w:t xml:space="preserve">  </w:t>
      </w:r>
    </w:p>
    <w:p w:rsidR="00EF0C65" w:rsidRDefault="000406CC">
      <w:pPr>
        <w:numPr>
          <w:ilvl w:val="0"/>
          <w:numId w:val="7"/>
        </w:numPr>
        <w:ind w:right="808" w:hanging="360"/>
      </w:pPr>
      <w:r>
        <w:t xml:space="preserve">The list of all excipients used and their quantities per dosage units used in the preparation shall be submitted.  </w:t>
      </w:r>
    </w:p>
    <w:p w:rsidR="00EF0C65" w:rsidRDefault="000406CC">
      <w:pPr>
        <w:spacing w:after="1" w:line="259" w:lineRule="auto"/>
        <w:ind w:left="314" w:right="0" w:firstLine="0"/>
        <w:jc w:val="left"/>
      </w:pPr>
      <w:r>
        <w:t xml:space="preserve">  </w:t>
      </w:r>
    </w:p>
    <w:p w:rsidR="00EF0C65" w:rsidRDefault="000406CC">
      <w:pPr>
        <w:numPr>
          <w:ilvl w:val="0"/>
          <w:numId w:val="7"/>
        </w:numPr>
        <w:ind w:right="808" w:hanging="360"/>
      </w:pPr>
      <w:r>
        <w:t xml:space="preserve">The indications for which the herbal medicinal product is being presented </w:t>
      </w:r>
      <w:r>
        <w:t xml:space="preserve">for registration shall be unambiguously stated.  </w:t>
      </w:r>
    </w:p>
    <w:p w:rsidR="00EF0C65" w:rsidRDefault="000406CC">
      <w:pPr>
        <w:spacing w:after="1" w:line="259" w:lineRule="auto"/>
        <w:ind w:left="314" w:right="0" w:firstLine="0"/>
        <w:jc w:val="left"/>
      </w:pPr>
      <w:r>
        <w:t xml:space="preserve">  </w:t>
      </w:r>
    </w:p>
    <w:p w:rsidR="00EF0C65" w:rsidRDefault="000406CC">
      <w:pPr>
        <w:numPr>
          <w:ilvl w:val="0"/>
          <w:numId w:val="7"/>
        </w:numPr>
        <w:ind w:right="808" w:hanging="360"/>
      </w:pPr>
      <w:r>
        <w:t xml:space="preserve">All documentation submitted shall be in English, and must be legibly printed and not handwritten.  </w:t>
      </w:r>
    </w:p>
    <w:p w:rsidR="00EF0C65" w:rsidRDefault="000406CC">
      <w:pPr>
        <w:spacing w:after="1" w:line="259" w:lineRule="auto"/>
        <w:ind w:left="314" w:right="0" w:firstLine="0"/>
        <w:jc w:val="left"/>
      </w:pPr>
      <w:r>
        <w:t xml:space="preserve">  </w:t>
      </w:r>
    </w:p>
    <w:p w:rsidR="00EF0C65" w:rsidRDefault="000406CC">
      <w:pPr>
        <w:numPr>
          <w:ilvl w:val="0"/>
          <w:numId w:val="7"/>
        </w:numPr>
        <w:ind w:right="808" w:hanging="360"/>
      </w:pPr>
      <w:r>
        <w:t>Four (4) copies of the labels and leaflet inserts, conforming to existing labeling regulations in Gh</w:t>
      </w:r>
      <w:r>
        <w:t xml:space="preserve">ana shall be included in the documentation  </w:t>
      </w:r>
    </w:p>
    <w:p w:rsidR="00EF0C65" w:rsidRDefault="000406CC">
      <w:pPr>
        <w:spacing w:after="1" w:line="259" w:lineRule="auto"/>
        <w:ind w:left="1034" w:right="0" w:firstLine="0"/>
        <w:jc w:val="left"/>
      </w:pPr>
      <w:r>
        <w:t xml:space="preserve">  </w:t>
      </w:r>
    </w:p>
    <w:p w:rsidR="00EF0C65" w:rsidRDefault="000406CC">
      <w:pPr>
        <w:numPr>
          <w:ilvl w:val="0"/>
          <w:numId w:val="7"/>
        </w:numPr>
        <w:ind w:right="808" w:hanging="360"/>
      </w:pPr>
      <w:r>
        <w:t xml:space="preserve">If the product is produced on contract manufacture, evidence of the contract agreement shall be produced in the documentation submitted.  </w:t>
      </w:r>
    </w:p>
    <w:p w:rsidR="00EF0C65" w:rsidRDefault="000406CC">
      <w:pPr>
        <w:spacing w:after="21" w:line="259" w:lineRule="auto"/>
        <w:ind w:left="314" w:right="0" w:firstLine="0"/>
        <w:jc w:val="left"/>
      </w:pPr>
      <w:r>
        <w:rPr>
          <w:b/>
        </w:rPr>
        <w:t xml:space="preserve"> </w:t>
      </w:r>
      <w:r>
        <w:t xml:space="preserve"> </w:t>
      </w:r>
    </w:p>
    <w:p w:rsidR="00EF0C65" w:rsidRDefault="000406CC">
      <w:pPr>
        <w:pStyle w:val="Heading3"/>
        <w:tabs>
          <w:tab w:val="center" w:pos="2308"/>
        </w:tabs>
        <w:ind w:left="-15" w:firstLine="0"/>
      </w:pPr>
      <w:bookmarkStart w:id="6" w:name="_Toc10938"/>
      <w:r>
        <w:rPr>
          <w:rFonts w:ascii="Calibri" w:eastAsia="Calibri" w:hAnsi="Calibri" w:cs="Calibri"/>
          <w:b w:val="0"/>
          <w:sz w:val="22"/>
        </w:rPr>
        <w:t xml:space="preserve"> </w:t>
      </w:r>
      <w:r>
        <w:rPr>
          <w:rFonts w:ascii="Calibri" w:eastAsia="Calibri" w:hAnsi="Calibri" w:cs="Calibri"/>
          <w:b w:val="0"/>
          <w:sz w:val="22"/>
        </w:rPr>
        <w:tab/>
      </w:r>
      <w:r>
        <w:t>3.3.</w:t>
      </w:r>
      <w:r>
        <w:rPr>
          <w:rFonts w:ascii="Arial" w:eastAsia="Arial" w:hAnsi="Arial" w:cs="Arial"/>
        </w:rPr>
        <w:t xml:space="preserve">  </w:t>
      </w:r>
      <w:r>
        <w:t xml:space="preserve">QUALITY REQUIREMENT  </w:t>
      </w:r>
      <w:bookmarkEnd w:id="6"/>
    </w:p>
    <w:p w:rsidR="00EF0C65" w:rsidRDefault="000406CC">
      <w:pPr>
        <w:spacing w:after="0" w:line="259" w:lineRule="auto"/>
        <w:ind w:left="314" w:right="0" w:firstLine="0"/>
        <w:jc w:val="left"/>
      </w:pPr>
      <w:r>
        <w:t xml:space="preserve">  </w:t>
      </w:r>
    </w:p>
    <w:p w:rsidR="00EF0C65" w:rsidRDefault="000406CC">
      <w:pPr>
        <w:ind w:left="295" w:right="808"/>
      </w:pPr>
      <w:r>
        <w:t xml:space="preserve">In order to ensure quality of the finished products, manufacturers of Herbal Medicinal Products should specify and implement quality requirements at every stage of manufacture.   </w:t>
      </w:r>
    </w:p>
    <w:p w:rsidR="00EF0C65" w:rsidRDefault="000406CC">
      <w:pPr>
        <w:spacing w:after="0" w:line="259" w:lineRule="auto"/>
        <w:ind w:left="314" w:right="0" w:firstLine="0"/>
        <w:jc w:val="left"/>
      </w:pPr>
      <w:r>
        <w:t xml:space="preserve">  </w:t>
      </w:r>
    </w:p>
    <w:p w:rsidR="00EF0C65" w:rsidRDefault="000406CC">
      <w:pPr>
        <w:ind w:left="295" w:right="808"/>
      </w:pPr>
      <w:r>
        <w:t>A certificate of analysis for each medicinal ingredient should be provide</w:t>
      </w:r>
      <w:r>
        <w:t xml:space="preserve">d with detailed information as to the testing performed to confirm the identity and purity of the medicinal ingredient.  </w:t>
      </w:r>
    </w:p>
    <w:p w:rsidR="00EF0C65" w:rsidRDefault="000406CC">
      <w:pPr>
        <w:spacing w:after="0" w:line="259" w:lineRule="auto"/>
        <w:ind w:left="314" w:right="0" w:firstLine="0"/>
        <w:jc w:val="left"/>
      </w:pPr>
      <w:r>
        <w:t xml:space="preserve">  </w:t>
      </w:r>
    </w:p>
    <w:p w:rsidR="00EF0C65" w:rsidRDefault="000406CC">
      <w:pPr>
        <w:ind w:left="295" w:right="808"/>
      </w:pPr>
      <w:r>
        <w:t>Finished product specifications must be provided for every Herbal medicinal product. The specifications should indicate which tests</w:t>
      </w:r>
      <w:r>
        <w:t xml:space="preserve"> are carried out routinely on each batch of the finished product, and for those which are not carried out routinely, the frequency of the testing should be stated on the specification sheet.  </w:t>
      </w:r>
    </w:p>
    <w:p w:rsidR="00EF0C65" w:rsidRDefault="000406CC">
      <w:pPr>
        <w:spacing w:after="0" w:line="259" w:lineRule="auto"/>
        <w:ind w:left="314" w:right="0" w:firstLine="0"/>
        <w:jc w:val="left"/>
      </w:pPr>
      <w:r>
        <w:t xml:space="preserve">  </w:t>
      </w:r>
    </w:p>
    <w:p w:rsidR="00EF0C65" w:rsidRDefault="000406CC">
      <w:pPr>
        <w:ind w:left="295" w:right="808"/>
      </w:pPr>
      <w:r>
        <w:lastRenderedPageBreak/>
        <w:t>Stability studies shall be conducted for 3 (three) trial bat</w:t>
      </w:r>
      <w:r>
        <w:t xml:space="preserve">ches of production and the proposed shelf-life and storage conditions must be determined, based on these results.  </w:t>
      </w:r>
    </w:p>
    <w:p w:rsidR="00EF0C65" w:rsidRDefault="000406CC">
      <w:pPr>
        <w:spacing w:after="0" w:line="259" w:lineRule="auto"/>
        <w:ind w:left="314" w:right="0" w:firstLine="0"/>
        <w:jc w:val="left"/>
      </w:pPr>
      <w:r>
        <w:t xml:space="preserve">  </w:t>
      </w:r>
    </w:p>
    <w:p w:rsidR="00EF0C65" w:rsidRDefault="000406CC">
      <w:pPr>
        <w:spacing w:after="1" w:line="259" w:lineRule="auto"/>
        <w:ind w:left="314" w:right="0" w:firstLine="0"/>
        <w:jc w:val="left"/>
      </w:pPr>
      <w:r>
        <w:t xml:space="preserve">  </w:t>
      </w:r>
    </w:p>
    <w:p w:rsidR="00EF0C65" w:rsidRDefault="000406CC">
      <w:pPr>
        <w:numPr>
          <w:ilvl w:val="0"/>
          <w:numId w:val="8"/>
        </w:numPr>
        <w:ind w:right="808" w:hanging="360"/>
      </w:pPr>
      <w:r>
        <w:t xml:space="preserve">WHO Zone IV B climatic conditions  </w:t>
      </w:r>
    </w:p>
    <w:p w:rsidR="00EF0C65" w:rsidRDefault="000406CC">
      <w:pPr>
        <w:spacing w:after="0" w:line="259" w:lineRule="auto"/>
        <w:ind w:left="1394" w:right="0" w:firstLine="0"/>
        <w:jc w:val="left"/>
      </w:pPr>
      <w:r>
        <w:t xml:space="preserve">  </w:t>
      </w:r>
    </w:p>
    <w:tbl>
      <w:tblPr>
        <w:tblStyle w:val="TableGrid"/>
        <w:tblW w:w="7617" w:type="dxa"/>
        <w:tblInd w:w="1454" w:type="dxa"/>
        <w:tblCellMar>
          <w:top w:w="19" w:type="dxa"/>
          <w:left w:w="106" w:type="dxa"/>
          <w:bottom w:w="0" w:type="dxa"/>
          <w:right w:w="115" w:type="dxa"/>
        </w:tblCellMar>
        <w:tblLook w:val="04A0" w:firstRow="1" w:lastRow="0" w:firstColumn="1" w:lastColumn="0" w:noHBand="0" w:noVBand="1"/>
      </w:tblPr>
      <w:tblGrid>
        <w:gridCol w:w="2538"/>
        <w:gridCol w:w="2542"/>
        <w:gridCol w:w="2537"/>
      </w:tblGrid>
      <w:tr w:rsidR="00EF0C65">
        <w:trPr>
          <w:trHeight w:val="542"/>
        </w:trPr>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2" w:right="0" w:firstLine="0"/>
              <w:jc w:val="left"/>
            </w:pPr>
            <w:r>
              <w:rPr>
                <w:b/>
              </w:rPr>
              <w:t xml:space="preserve">Condition </w:t>
            </w:r>
            <w:r>
              <w:t xml:space="preserve"> </w:t>
            </w:r>
          </w:p>
        </w:tc>
        <w:tc>
          <w:tcPr>
            <w:tcW w:w="2542"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5" w:right="0" w:firstLine="0"/>
              <w:jc w:val="left"/>
            </w:pPr>
            <w:r>
              <w:rPr>
                <w:b/>
              </w:rPr>
              <w:t xml:space="preserve">Accelerated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0" w:right="0" w:firstLine="0"/>
              <w:jc w:val="left"/>
            </w:pPr>
            <w:r>
              <w:rPr>
                <w:b/>
              </w:rPr>
              <w:t xml:space="preserve">Real Time </w:t>
            </w:r>
            <w:r>
              <w:t xml:space="preserve"> </w:t>
            </w:r>
          </w:p>
        </w:tc>
      </w:tr>
      <w:tr w:rsidR="00EF0C65">
        <w:trPr>
          <w:trHeight w:val="545"/>
        </w:trPr>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2" w:right="0" w:firstLine="0"/>
              <w:jc w:val="left"/>
            </w:pPr>
            <w:r>
              <w:t xml:space="preserve">Storage Temperature    </w:t>
            </w:r>
          </w:p>
        </w:tc>
        <w:tc>
          <w:tcPr>
            <w:tcW w:w="2542"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5" w:right="0" w:firstLine="0"/>
              <w:jc w:val="left"/>
            </w:pPr>
            <w:r>
              <w:t xml:space="preserve">40 </w:t>
            </w:r>
            <w:r>
              <w:rPr>
                <w:u w:val="single" w:color="000000"/>
              </w:rPr>
              <w:t>+</w:t>
            </w:r>
            <w:r>
              <w:t xml:space="preserve"> 2 </w:t>
            </w:r>
            <w:proofErr w:type="spellStart"/>
            <w:r>
              <w:rPr>
                <w:vertAlign w:val="superscript"/>
              </w:rPr>
              <w:t>o</w:t>
            </w:r>
            <w:r>
              <w:t>C</w:t>
            </w:r>
            <w:proofErr w:type="spellEnd"/>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0" w:right="0" w:firstLine="0"/>
              <w:jc w:val="left"/>
            </w:pPr>
            <w:r>
              <w:t xml:space="preserve">30 </w:t>
            </w:r>
            <w:proofErr w:type="spellStart"/>
            <w:r>
              <w:rPr>
                <w:vertAlign w:val="superscript"/>
              </w:rPr>
              <w:t>o</w:t>
            </w:r>
            <w:r>
              <w:t>C</w:t>
            </w:r>
            <w:proofErr w:type="spellEnd"/>
            <w:r>
              <w:t xml:space="preserve">  </w:t>
            </w:r>
          </w:p>
        </w:tc>
      </w:tr>
      <w:tr w:rsidR="00EF0C65">
        <w:trPr>
          <w:trHeight w:val="545"/>
        </w:trPr>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2" w:right="0" w:firstLine="0"/>
              <w:jc w:val="left"/>
            </w:pPr>
            <w:r>
              <w:t xml:space="preserve">Relative Humidity  </w:t>
            </w:r>
          </w:p>
        </w:tc>
        <w:tc>
          <w:tcPr>
            <w:tcW w:w="2542"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5" w:right="0" w:firstLine="0"/>
              <w:jc w:val="left"/>
            </w:pPr>
            <w:r>
              <w:t xml:space="preserve">75 </w:t>
            </w:r>
            <w:r>
              <w:rPr>
                <w:u w:val="single" w:color="000000"/>
              </w:rPr>
              <w:t>+</w:t>
            </w:r>
            <w:r>
              <w:t xml:space="preserve"> 5 %  </w:t>
            </w:r>
          </w:p>
        </w:tc>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0" w:right="0" w:firstLine="0"/>
              <w:jc w:val="left"/>
            </w:pPr>
            <w:r>
              <w:t xml:space="preserve">70 %  </w:t>
            </w:r>
          </w:p>
        </w:tc>
      </w:tr>
      <w:tr w:rsidR="00EF0C65">
        <w:trPr>
          <w:trHeight w:val="545"/>
        </w:trPr>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2" w:right="0" w:firstLine="0"/>
              <w:jc w:val="left"/>
            </w:pPr>
            <w:r>
              <w:t xml:space="preserve">Duration  </w:t>
            </w:r>
          </w:p>
        </w:tc>
        <w:tc>
          <w:tcPr>
            <w:tcW w:w="2542"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5" w:right="0" w:firstLine="0"/>
              <w:jc w:val="left"/>
            </w:pPr>
            <w:r>
              <w:t xml:space="preserve">6 months  </w:t>
            </w:r>
          </w:p>
        </w:tc>
        <w:tc>
          <w:tcPr>
            <w:tcW w:w="2537" w:type="dxa"/>
            <w:tcBorders>
              <w:top w:val="single" w:sz="4" w:space="0" w:color="000000"/>
              <w:left w:val="single" w:sz="4" w:space="0" w:color="000000"/>
              <w:bottom w:val="single" w:sz="4" w:space="0" w:color="000000"/>
              <w:right w:val="single" w:sz="4" w:space="0" w:color="000000"/>
            </w:tcBorders>
          </w:tcPr>
          <w:p w:rsidR="00EF0C65" w:rsidRDefault="000406CC">
            <w:pPr>
              <w:spacing w:after="0" w:line="259" w:lineRule="auto"/>
              <w:ind w:left="0" w:right="0" w:firstLine="0"/>
              <w:jc w:val="left"/>
            </w:pPr>
            <w:r>
              <w:t xml:space="preserve">Until end of shelf life  </w:t>
            </w:r>
          </w:p>
        </w:tc>
      </w:tr>
    </w:tbl>
    <w:p w:rsidR="00EF0C65" w:rsidRDefault="000406CC">
      <w:pPr>
        <w:spacing w:after="219" w:line="259" w:lineRule="auto"/>
        <w:ind w:left="314" w:right="0" w:firstLine="0"/>
        <w:jc w:val="left"/>
      </w:pPr>
      <w:r>
        <w:t xml:space="preserve">  </w:t>
      </w:r>
    </w:p>
    <w:p w:rsidR="00EF0C65" w:rsidRDefault="000406CC">
      <w:pPr>
        <w:numPr>
          <w:ilvl w:val="0"/>
          <w:numId w:val="8"/>
        </w:numPr>
        <w:ind w:right="808" w:hanging="360"/>
      </w:pPr>
      <w:r>
        <w:t xml:space="preserve">The stability study shall be conducted in the container closure system in which it will be marketed in Ghana.  </w:t>
      </w:r>
    </w:p>
    <w:p w:rsidR="00EF0C65" w:rsidRDefault="000406CC">
      <w:pPr>
        <w:spacing w:after="0" w:line="259" w:lineRule="auto"/>
        <w:ind w:left="314" w:right="0" w:firstLine="0"/>
        <w:jc w:val="left"/>
      </w:pPr>
      <w:r>
        <w:t xml:space="preserve">  </w:t>
      </w:r>
    </w:p>
    <w:p w:rsidR="00EF0C65" w:rsidRDefault="000406CC">
      <w:pPr>
        <w:ind w:left="295" w:right="808"/>
      </w:pPr>
      <w:r>
        <w:t xml:space="preserve">Where applicable, a Certificate of Pharmaceutical Product (CPP) in accordance with the WHO Certification scheme/or Free sale certificate and </w:t>
      </w:r>
      <w:r>
        <w:t xml:space="preserve">issued by the statutory regulatory authority in the country of origin of the product, shall be submitted along with a certificate of analysis  </w:t>
      </w:r>
    </w:p>
    <w:p w:rsidR="00EF0C65" w:rsidRDefault="000406CC">
      <w:pPr>
        <w:spacing w:after="0" w:line="259" w:lineRule="auto"/>
        <w:ind w:left="314" w:right="0" w:firstLine="0"/>
        <w:jc w:val="left"/>
      </w:pPr>
      <w:r>
        <w:t xml:space="preserve">  </w:t>
      </w:r>
    </w:p>
    <w:p w:rsidR="00EF0C65" w:rsidRDefault="000406CC">
      <w:pPr>
        <w:spacing w:after="1" w:line="259" w:lineRule="auto"/>
        <w:ind w:left="314" w:right="0" w:firstLine="0"/>
        <w:jc w:val="left"/>
      </w:pPr>
      <w:r>
        <w:t xml:space="preserve">  </w:t>
      </w:r>
    </w:p>
    <w:p w:rsidR="00EF0C65" w:rsidRDefault="000406CC">
      <w:pPr>
        <w:pStyle w:val="Heading5"/>
        <w:ind w:left="305"/>
      </w:pPr>
      <w:r>
        <w:t>3.2.1.1</w:t>
      </w:r>
      <w:r>
        <w:rPr>
          <w:rFonts w:ascii="Arial" w:eastAsia="Arial" w:hAnsi="Arial" w:cs="Arial"/>
        </w:rPr>
        <w:t xml:space="preserve"> </w:t>
      </w:r>
      <w:r>
        <w:t xml:space="preserve">Physical/chemical identification tests </w:t>
      </w:r>
      <w:r>
        <w:rPr>
          <w:b w:val="0"/>
        </w:rPr>
        <w:t xml:space="preserve"> </w:t>
      </w:r>
    </w:p>
    <w:p w:rsidR="00EF0C65" w:rsidRDefault="000406CC">
      <w:pPr>
        <w:spacing w:after="0" w:line="259" w:lineRule="auto"/>
        <w:ind w:left="314" w:right="0" w:firstLine="0"/>
        <w:jc w:val="left"/>
      </w:pPr>
      <w:r>
        <w:t xml:space="preserve">  </w:t>
      </w:r>
    </w:p>
    <w:p w:rsidR="00EF0C65" w:rsidRDefault="000406CC">
      <w:pPr>
        <w:ind w:left="295" w:right="808"/>
      </w:pPr>
      <w:r>
        <w:t>Physical identification tests should be done on the fi</w:t>
      </w:r>
      <w:r>
        <w:t xml:space="preserve">nal dosage form and should be documented in the finished product specifications. Tests for physical identification of the finished product might include tests such as organoleptic evaluation (sensory characteristics e.g., taste, </w:t>
      </w:r>
      <w:proofErr w:type="spellStart"/>
      <w:r>
        <w:t>odour</w:t>
      </w:r>
      <w:proofErr w:type="spellEnd"/>
      <w:r>
        <w:t>, feel, appearance (co</w:t>
      </w:r>
      <w:r>
        <w:t xml:space="preserve">lour and shape of the capsule or tablet), etc.).   </w:t>
      </w:r>
    </w:p>
    <w:p w:rsidR="00EF0C65" w:rsidRDefault="000406CC">
      <w:pPr>
        <w:spacing w:after="0" w:line="259" w:lineRule="auto"/>
        <w:ind w:left="314" w:right="0" w:firstLine="0"/>
        <w:jc w:val="left"/>
      </w:pPr>
      <w:r>
        <w:t xml:space="preserve">  </w:t>
      </w:r>
    </w:p>
    <w:p w:rsidR="00EF0C65" w:rsidRDefault="000406CC">
      <w:pPr>
        <w:ind w:left="295" w:right="808"/>
      </w:pPr>
      <w:r>
        <w:t xml:space="preserve">Where the medicinal ingredient is a defined chemical entity, or where a marker is present, chemical identification tests should be used.  </w:t>
      </w:r>
    </w:p>
    <w:p w:rsidR="00EF0C65" w:rsidRDefault="000406CC">
      <w:pPr>
        <w:spacing w:after="1" w:line="259" w:lineRule="auto"/>
        <w:ind w:left="314" w:right="0" w:firstLine="0"/>
        <w:jc w:val="left"/>
      </w:pPr>
      <w:r>
        <w:t xml:space="preserve">  </w:t>
      </w:r>
    </w:p>
    <w:p w:rsidR="00EF0C65" w:rsidRDefault="000406CC">
      <w:pPr>
        <w:ind w:left="295" w:right="808"/>
      </w:pPr>
      <w:r>
        <w:rPr>
          <w:b/>
        </w:rPr>
        <w:t>3.2.1.2</w:t>
      </w:r>
      <w:r>
        <w:rPr>
          <w:rFonts w:ascii="Arial" w:eastAsia="Arial" w:hAnsi="Arial" w:cs="Arial"/>
          <w:b/>
        </w:rPr>
        <w:t xml:space="preserve"> </w:t>
      </w:r>
      <w:r>
        <w:rPr>
          <w:b/>
        </w:rPr>
        <w:t xml:space="preserve">MICROBIAL TEST: </w:t>
      </w:r>
      <w:r>
        <w:t>Microbial testing of the underliste</w:t>
      </w:r>
      <w:r>
        <w:t xml:space="preserve">d parameters should be done according to Pharmacopoeia (USP, Ph. Eur. etc.), WHO methods or any other internationally recognized methods:  </w:t>
      </w:r>
    </w:p>
    <w:p w:rsidR="00EF0C65" w:rsidRDefault="000406CC">
      <w:pPr>
        <w:spacing w:after="2" w:line="259" w:lineRule="auto"/>
        <w:ind w:left="314" w:right="0" w:firstLine="0"/>
        <w:jc w:val="left"/>
      </w:pPr>
      <w:r>
        <w:t xml:space="preserve">   </w:t>
      </w:r>
    </w:p>
    <w:p w:rsidR="00EF0C65" w:rsidRDefault="000406CC">
      <w:pPr>
        <w:pStyle w:val="Heading5"/>
        <w:ind w:left="305"/>
      </w:pPr>
      <w:r>
        <w:rPr>
          <w:b w:val="0"/>
        </w:rPr>
        <w:t>•</w:t>
      </w:r>
      <w:r>
        <w:rPr>
          <w:rFonts w:ascii="Arial" w:eastAsia="Arial" w:hAnsi="Arial" w:cs="Arial"/>
          <w:b w:val="0"/>
        </w:rPr>
        <w:t xml:space="preserve"> </w:t>
      </w:r>
      <w:r>
        <w:t xml:space="preserve">Total viable aerobic plate count </w:t>
      </w:r>
      <w:r>
        <w:rPr>
          <w:b w:val="0"/>
        </w:rPr>
        <w:t xml:space="preserve"> • </w:t>
      </w:r>
      <w:r>
        <w:t xml:space="preserve">Contaminating fungus (yeast and </w:t>
      </w:r>
      <w:proofErr w:type="spellStart"/>
      <w:r>
        <w:t>mould</w:t>
      </w:r>
      <w:proofErr w:type="spellEnd"/>
      <w:r>
        <w:t xml:space="preserve">) </w:t>
      </w:r>
      <w:r>
        <w:rPr>
          <w:b w:val="0"/>
        </w:rPr>
        <w:t xml:space="preserve">  </w:t>
      </w:r>
    </w:p>
    <w:p w:rsidR="00EF0C65" w:rsidRDefault="000406CC">
      <w:pPr>
        <w:numPr>
          <w:ilvl w:val="0"/>
          <w:numId w:val="9"/>
        </w:numPr>
        <w:spacing w:after="1" w:line="260" w:lineRule="auto"/>
        <w:ind w:right="7438" w:hanging="144"/>
        <w:jc w:val="left"/>
      </w:pPr>
      <w:r>
        <w:rPr>
          <w:b/>
          <w:i/>
        </w:rPr>
        <w:t xml:space="preserve">Salmonella </w:t>
      </w:r>
      <w:r>
        <w:rPr>
          <w:b/>
        </w:rPr>
        <w:t xml:space="preserve">spp. </w:t>
      </w:r>
      <w:r>
        <w:t xml:space="preserve">  </w:t>
      </w:r>
    </w:p>
    <w:p w:rsidR="00EF0C65" w:rsidRDefault="000406CC">
      <w:pPr>
        <w:numPr>
          <w:ilvl w:val="0"/>
          <w:numId w:val="9"/>
        </w:numPr>
        <w:spacing w:after="1" w:line="260" w:lineRule="auto"/>
        <w:ind w:right="7438" w:hanging="144"/>
        <w:jc w:val="left"/>
      </w:pPr>
      <w:r>
        <w:rPr>
          <w:b/>
          <w:i/>
        </w:rPr>
        <w:t xml:space="preserve">Escherichia coli </w:t>
      </w:r>
      <w:r>
        <w:t xml:space="preserve">  •</w:t>
      </w:r>
      <w:r>
        <w:rPr>
          <w:rFonts w:ascii="Arial" w:eastAsia="Arial" w:hAnsi="Arial" w:cs="Arial"/>
        </w:rPr>
        <w:t xml:space="preserve"> </w:t>
      </w:r>
      <w:r>
        <w:rPr>
          <w:b/>
          <w:i/>
        </w:rPr>
        <w:t xml:space="preserve">Staphylococcus aureus </w:t>
      </w:r>
      <w:r>
        <w:t xml:space="preserve">  </w:t>
      </w:r>
    </w:p>
    <w:p w:rsidR="00EF0C65" w:rsidRDefault="000406CC">
      <w:pPr>
        <w:ind w:left="295" w:right="808"/>
      </w:pPr>
      <w:r>
        <w:t xml:space="preserve"> .  </w:t>
      </w:r>
    </w:p>
    <w:p w:rsidR="00EF0C65" w:rsidRDefault="000406CC">
      <w:pPr>
        <w:ind w:left="295" w:right="808"/>
      </w:pPr>
      <w:r>
        <w:rPr>
          <w:b/>
        </w:rPr>
        <w:t>3.2.1.3</w:t>
      </w:r>
      <w:r>
        <w:rPr>
          <w:rFonts w:ascii="Arial" w:eastAsia="Arial" w:hAnsi="Arial" w:cs="Arial"/>
          <w:b/>
        </w:rPr>
        <w:t xml:space="preserve"> </w:t>
      </w:r>
      <w:r>
        <w:rPr>
          <w:b/>
        </w:rPr>
        <w:t xml:space="preserve">Heavy Metals (i.e., arsenic (inorganic), cadmium, lead and mercury): </w:t>
      </w:r>
      <w:r>
        <w:t>These should be tested individually or as total heavy metals expressed as lead at the finished product stage or at the raw material stage if all medicinal and non-medicinal ingredients ar</w:t>
      </w:r>
      <w:r>
        <w:t xml:space="preserve">e tested. Testing should be done according to Pharmacopoeia or any other internationally accepted methods.  </w:t>
      </w:r>
    </w:p>
    <w:p w:rsidR="00EF0C65" w:rsidRDefault="000406CC">
      <w:pPr>
        <w:ind w:left="295" w:right="808"/>
      </w:pPr>
      <w:r>
        <w:rPr>
          <w:b/>
        </w:rPr>
        <w:lastRenderedPageBreak/>
        <w:t>3.2.1.4</w:t>
      </w:r>
      <w:r>
        <w:rPr>
          <w:rFonts w:ascii="Arial" w:eastAsia="Arial" w:hAnsi="Arial" w:cs="Arial"/>
          <w:b/>
        </w:rPr>
        <w:t xml:space="preserve"> </w:t>
      </w:r>
      <w:r>
        <w:rPr>
          <w:b/>
        </w:rPr>
        <w:t xml:space="preserve">Pesticide Residues: </w:t>
      </w:r>
      <w:r>
        <w:t>Testing for pesticides in plant or plant materials, algae, fungi, should be done according to WHO methods for pesticide</w:t>
      </w:r>
      <w:r>
        <w:t xml:space="preserve"> screening l. Multi-residue pesticide screening is preferential. The pesticide residues that are routinely tested should be those pesticides which were used in treatment of the plant or any pesticides where residues are suspected and may carry over to the </w:t>
      </w:r>
      <w:r>
        <w:t xml:space="preserve">final dosage form.  </w:t>
      </w:r>
    </w:p>
    <w:p w:rsidR="00EF0C65" w:rsidRDefault="000406CC">
      <w:pPr>
        <w:spacing w:after="0" w:line="259" w:lineRule="auto"/>
        <w:ind w:left="314" w:right="0" w:firstLine="0"/>
        <w:jc w:val="left"/>
      </w:pPr>
      <w:r>
        <w:t xml:space="preserve">  </w:t>
      </w:r>
    </w:p>
    <w:p w:rsidR="00EF0C65" w:rsidRDefault="000406CC">
      <w:pPr>
        <w:ind w:left="295" w:right="808"/>
      </w:pPr>
      <w:r>
        <w:rPr>
          <w:b/>
        </w:rPr>
        <w:t xml:space="preserve">3.2.1.5 Foreign matter: </w:t>
      </w:r>
      <w:r>
        <w:t xml:space="preserve">Testing should be done according to internationally recognized methods.  </w:t>
      </w:r>
    </w:p>
    <w:p w:rsidR="00EF0C65" w:rsidRDefault="000406CC">
      <w:pPr>
        <w:spacing w:after="1" w:line="259" w:lineRule="auto"/>
        <w:ind w:left="314" w:right="0" w:firstLine="0"/>
        <w:jc w:val="left"/>
      </w:pPr>
      <w:r>
        <w:t xml:space="preserve">  </w:t>
      </w:r>
    </w:p>
    <w:p w:rsidR="00EF0C65" w:rsidRDefault="000406CC">
      <w:pPr>
        <w:pStyle w:val="Heading6"/>
        <w:ind w:left="305"/>
      </w:pPr>
      <w:r>
        <w:t>3.2.1.5</w:t>
      </w:r>
      <w:r>
        <w:rPr>
          <w:rFonts w:ascii="Arial" w:eastAsia="Arial" w:hAnsi="Arial" w:cs="Arial"/>
        </w:rPr>
        <w:t xml:space="preserve"> </w:t>
      </w:r>
      <w:r>
        <w:t xml:space="preserve">Toxicological Requirement </w:t>
      </w:r>
      <w:r>
        <w:rPr>
          <w:b w:val="0"/>
        </w:rPr>
        <w:t xml:space="preserve"> </w:t>
      </w:r>
    </w:p>
    <w:p w:rsidR="00EF0C65" w:rsidRDefault="000406CC">
      <w:pPr>
        <w:spacing w:after="0" w:line="259" w:lineRule="auto"/>
        <w:ind w:left="314" w:right="0" w:firstLine="0"/>
        <w:jc w:val="left"/>
      </w:pPr>
      <w:r>
        <w:t xml:space="preserve">   </w:t>
      </w:r>
    </w:p>
    <w:p w:rsidR="00EF0C65" w:rsidRDefault="000406CC">
      <w:pPr>
        <w:ind w:left="295" w:right="808"/>
      </w:pPr>
      <w:r>
        <w:t>Acute, chronic and sub-chronic toxicity test reports of the finished product shall be submi</w:t>
      </w:r>
      <w:r>
        <w:t xml:space="preserve">tted.  </w:t>
      </w:r>
    </w:p>
    <w:p w:rsidR="00EF0C65" w:rsidRDefault="000406CC">
      <w:pPr>
        <w:spacing w:after="0" w:line="259" w:lineRule="auto"/>
        <w:ind w:left="314" w:right="0" w:firstLine="0"/>
        <w:jc w:val="left"/>
      </w:pPr>
      <w:r>
        <w:t xml:space="preserve">  </w:t>
      </w:r>
    </w:p>
    <w:p w:rsidR="00EF0C65" w:rsidRDefault="000406CC">
      <w:pPr>
        <w:ind w:left="295" w:right="808"/>
      </w:pPr>
      <w:r>
        <w:t xml:space="preserve">For locally manufactured Herbal medicinal products, toxicological test reports shall be submitted from but not limited to any of the under listed institutions:  </w:t>
      </w:r>
    </w:p>
    <w:p w:rsidR="00EF0C65" w:rsidRDefault="000406CC">
      <w:pPr>
        <w:spacing w:after="1" w:line="259" w:lineRule="auto"/>
        <w:ind w:left="1034" w:right="0" w:firstLine="0"/>
        <w:jc w:val="left"/>
      </w:pPr>
      <w:r>
        <w:t xml:space="preserve">  </w:t>
      </w:r>
    </w:p>
    <w:p w:rsidR="00EF0C65" w:rsidRDefault="000406CC">
      <w:pPr>
        <w:numPr>
          <w:ilvl w:val="0"/>
          <w:numId w:val="10"/>
        </w:numPr>
        <w:ind w:right="808" w:hanging="677"/>
      </w:pPr>
      <w:r>
        <w:t xml:space="preserve">Centre for Scientific Research Into Plant Medicine, Mampong,  </w:t>
      </w:r>
    </w:p>
    <w:p w:rsidR="00EF0C65" w:rsidRDefault="000406CC">
      <w:pPr>
        <w:numPr>
          <w:ilvl w:val="0"/>
          <w:numId w:val="10"/>
        </w:numPr>
        <w:ind w:right="808" w:hanging="677"/>
      </w:pPr>
      <w:r>
        <w:t xml:space="preserve">Noguchi Memorial </w:t>
      </w:r>
      <w:r>
        <w:t xml:space="preserve">Institute for Medical Research, University of Ghana, Legon.  </w:t>
      </w:r>
    </w:p>
    <w:p w:rsidR="00EF0C65" w:rsidRDefault="000406CC">
      <w:pPr>
        <w:numPr>
          <w:ilvl w:val="0"/>
          <w:numId w:val="10"/>
        </w:numPr>
        <w:ind w:right="808" w:hanging="677"/>
      </w:pPr>
      <w:r>
        <w:t xml:space="preserve">Kwame Nkrumah University of Science and Technology, Kumasi (KNUST).  </w:t>
      </w:r>
    </w:p>
    <w:p w:rsidR="00EF0C65" w:rsidRDefault="000406CC">
      <w:pPr>
        <w:numPr>
          <w:ilvl w:val="0"/>
          <w:numId w:val="10"/>
        </w:numPr>
        <w:ind w:right="808" w:hanging="677"/>
      </w:pPr>
      <w:r>
        <w:t xml:space="preserve">The Pharmacology Department, University of Ghana Medical School, Korle-Bu.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27" w:line="259" w:lineRule="auto"/>
        <w:ind w:left="314" w:right="0" w:firstLine="0"/>
        <w:jc w:val="left"/>
      </w:pPr>
      <w:r>
        <w:t xml:space="preserve">  </w:t>
      </w:r>
    </w:p>
    <w:p w:rsidR="00EF0C65" w:rsidRDefault="000406CC">
      <w:pPr>
        <w:pStyle w:val="Heading3"/>
        <w:ind w:left="684"/>
      </w:pPr>
      <w:bookmarkStart w:id="7" w:name="_Toc10939"/>
      <w:r>
        <w:t>3.4.</w:t>
      </w:r>
      <w:r>
        <w:rPr>
          <w:rFonts w:ascii="Arial" w:eastAsia="Arial" w:hAnsi="Arial" w:cs="Arial"/>
        </w:rPr>
        <w:t xml:space="preserve"> </w:t>
      </w:r>
      <w:r>
        <w:t xml:space="preserve">EVIDENCE OF CLAIM  </w:t>
      </w:r>
      <w:bookmarkEnd w:id="7"/>
    </w:p>
    <w:p w:rsidR="00EF0C65" w:rsidRDefault="000406CC">
      <w:pPr>
        <w:spacing w:after="0" w:line="259" w:lineRule="auto"/>
        <w:ind w:left="314" w:right="0" w:firstLine="0"/>
        <w:jc w:val="left"/>
      </w:pPr>
      <w:r>
        <w:rPr>
          <w:b/>
        </w:rPr>
        <w:t xml:space="preserve"> </w:t>
      </w:r>
      <w:r>
        <w:t xml:space="preserve"> </w:t>
      </w:r>
    </w:p>
    <w:p w:rsidR="00EF0C65" w:rsidRDefault="000406CC">
      <w:pPr>
        <w:ind w:left="295" w:right="808"/>
      </w:pPr>
      <w:r>
        <w:t xml:space="preserve">Substantial evidence of the clinical effectiveness of the Herbal medicinal product for the indications stated shall be required  </w:t>
      </w:r>
    </w:p>
    <w:p w:rsidR="00EF0C65" w:rsidRDefault="000406CC">
      <w:pPr>
        <w:spacing w:after="0" w:line="259" w:lineRule="auto"/>
        <w:ind w:left="0" w:right="644" w:firstLine="0"/>
        <w:jc w:val="right"/>
      </w:pPr>
      <w:r>
        <w:t xml:space="preserve">  </w:t>
      </w:r>
    </w:p>
    <w:p w:rsidR="00EF0C65" w:rsidRDefault="000406CC">
      <w:pPr>
        <w:ind w:left="295" w:right="808"/>
      </w:pPr>
      <w:r>
        <w:t>All indic</w:t>
      </w:r>
      <w:r>
        <w:t xml:space="preserve">ations and claims based on scientific evidence require human studies. For those rare occasions where only non-human data exist, indications and claims may be allowed on a </w:t>
      </w:r>
      <w:proofErr w:type="spellStart"/>
      <w:r>
        <w:t>caseby</w:t>
      </w:r>
      <w:proofErr w:type="spellEnd"/>
      <w:r>
        <w:t>-case basis. Supporting evidence may be used in conjunction with primary eviden</w:t>
      </w:r>
      <w:r>
        <w:t xml:space="preserve">ce to strengthen the wording of a claim.  </w:t>
      </w:r>
    </w:p>
    <w:p w:rsidR="00EF0C65" w:rsidRDefault="000406CC">
      <w:pPr>
        <w:spacing w:after="0" w:line="259" w:lineRule="auto"/>
        <w:ind w:left="314" w:right="0" w:firstLine="0"/>
        <w:jc w:val="left"/>
      </w:pPr>
      <w:r>
        <w:t xml:space="preserve">  </w:t>
      </w:r>
    </w:p>
    <w:p w:rsidR="00EF0C65" w:rsidRDefault="000406CC">
      <w:pPr>
        <w:ind w:left="295" w:right="808"/>
      </w:pPr>
      <w:r>
        <w:t>In a claim based on scientific evidence, the recommended dosage of the product needs to be consistent with the evidence used to make the claim. The evidence must relate to the whole product or the same active constituent(s) with similar dosage regimen, dos</w:t>
      </w:r>
      <w:r>
        <w:t>e form and route of administration to the product for which a claim is being made. When the evidence is based on an active constituent, qualification may be necessary according to how other constituents in the product may affect the activity of that consti</w:t>
      </w:r>
      <w:r>
        <w:t xml:space="preserve">tuent in the product.  </w:t>
      </w:r>
    </w:p>
    <w:p w:rsidR="00EF0C65" w:rsidRDefault="000406CC">
      <w:pPr>
        <w:spacing w:after="0" w:line="259" w:lineRule="auto"/>
        <w:ind w:left="314" w:right="0" w:firstLine="0"/>
        <w:jc w:val="left"/>
      </w:pPr>
      <w:r>
        <w:t xml:space="preserve">  </w:t>
      </w:r>
    </w:p>
    <w:p w:rsidR="00EF0C65" w:rsidRDefault="000406CC">
      <w:pPr>
        <w:ind w:left="295" w:right="808"/>
      </w:pPr>
      <w:r>
        <w:t xml:space="preserve"> Although foreign clinical data is acceptable, the Authority may request for local clinical trials based on the Authority’s Guidelines for Clinical Trials in Humans at its own discretion. The cost of such a trial shall be borne b</w:t>
      </w:r>
      <w:r>
        <w:t xml:space="preserve">y the applicant.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0" w:line="259" w:lineRule="auto"/>
        <w:ind w:left="314" w:right="0" w:firstLine="0"/>
        <w:jc w:val="left"/>
      </w:pPr>
      <w:r>
        <w:t xml:space="preserve">  </w:t>
      </w:r>
    </w:p>
    <w:p w:rsidR="00EF0C65" w:rsidRDefault="000406CC">
      <w:pPr>
        <w:spacing w:after="1" w:line="259" w:lineRule="auto"/>
        <w:ind w:left="314" w:right="0" w:firstLine="0"/>
        <w:jc w:val="left"/>
      </w:pPr>
      <w:r>
        <w:lastRenderedPageBreak/>
        <w:t xml:space="preserve">  </w:t>
      </w:r>
    </w:p>
    <w:p w:rsidR="00EF0C65" w:rsidRDefault="000406CC">
      <w:pPr>
        <w:ind w:left="295" w:right="808"/>
      </w:pPr>
      <w:r>
        <w:rPr>
          <w:b/>
        </w:rPr>
        <w:t>4.</w:t>
      </w:r>
      <w:r>
        <w:rPr>
          <w:rFonts w:ascii="Arial" w:eastAsia="Arial" w:hAnsi="Arial" w:cs="Arial"/>
          <w:b/>
        </w:rPr>
        <w:t xml:space="preserve"> </w:t>
      </w:r>
      <w:r>
        <w:rPr>
          <w:b/>
        </w:rPr>
        <w:t>The Authority</w:t>
      </w:r>
      <w:r>
        <w:t xml:space="preserve">, in considering an application,  </w:t>
      </w:r>
    </w:p>
    <w:p w:rsidR="00EF0C65" w:rsidRDefault="000406CC">
      <w:pPr>
        <w:spacing w:after="0" w:line="259" w:lineRule="auto"/>
        <w:ind w:left="314" w:right="0" w:firstLine="0"/>
        <w:jc w:val="left"/>
      </w:pPr>
      <w:r>
        <w:t xml:space="preserve">   </w:t>
      </w:r>
    </w:p>
    <w:p w:rsidR="00EF0C65" w:rsidRDefault="000406CC">
      <w:pPr>
        <w:numPr>
          <w:ilvl w:val="0"/>
          <w:numId w:val="11"/>
        </w:numPr>
        <w:ind w:right="808" w:hanging="833"/>
      </w:pPr>
      <w:r>
        <w:t xml:space="preserve">may ask the applicant to supply such other information as may be required to enable it reach a decision on the application.  </w:t>
      </w:r>
    </w:p>
    <w:p w:rsidR="00EF0C65" w:rsidRDefault="000406CC">
      <w:pPr>
        <w:spacing w:after="1" w:line="259" w:lineRule="auto"/>
        <w:ind w:left="314" w:right="0" w:firstLine="0"/>
        <w:jc w:val="left"/>
      </w:pPr>
      <w:r>
        <w:t xml:space="preserve">  </w:t>
      </w:r>
    </w:p>
    <w:p w:rsidR="00EF0C65" w:rsidRDefault="000406CC">
      <w:pPr>
        <w:numPr>
          <w:ilvl w:val="0"/>
          <w:numId w:val="11"/>
        </w:numPr>
        <w:ind w:right="808" w:hanging="833"/>
      </w:pPr>
      <w:r>
        <w:t xml:space="preserve">shall satisfy itself that there is the need to have the Herbal medicinal product registered.  </w:t>
      </w:r>
    </w:p>
    <w:p w:rsidR="00EF0C65" w:rsidRDefault="000406CC">
      <w:pPr>
        <w:spacing w:after="219" w:line="259" w:lineRule="auto"/>
        <w:ind w:left="1034" w:right="0" w:firstLine="0"/>
        <w:jc w:val="left"/>
      </w:pPr>
      <w:r>
        <w:t xml:space="preserve">  </w:t>
      </w:r>
    </w:p>
    <w:p w:rsidR="00EF0C65" w:rsidRDefault="000406CC">
      <w:pPr>
        <w:numPr>
          <w:ilvl w:val="0"/>
          <w:numId w:val="11"/>
        </w:numPr>
        <w:ind w:right="808" w:hanging="833"/>
      </w:pPr>
      <w:r>
        <w:t>may consult with other bodies</w:t>
      </w:r>
      <w:r>
        <w:t xml:space="preserve"> and experts with knowledge in the Herbal medicinal product.  </w:t>
      </w:r>
    </w:p>
    <w:p w:rsidR="00EF0C65" w:rsidRDefault="000406CC">
      <w:pPr>
        <w:spacing w:after="221" w:line="259" w:lineRule="auto"/>
        <w:ind w:left="1034" w:right="0" w:firstLine="0"/>
        <w:jc w:val="left"/>
      </w:pPr>
      <w:r>
        <w:t xml:space="preserve">  </w:t>
      </w:r>
    </w:p>
    <w:p w:rsidR="00EF0C65" w:rsidRDefault="000406CC">
      <w:pPr>
        <w:numPr>
          <w:ilvl w:val="0"/>
          <w:numId w:val="11"/>
        </w:numPr>
        <w:ind w:right="808" w:hanging="833"/>
      </w:pPr>
      <w:r>
        <w:t xml:space="preserve">may request for the agreement from the manufacturer to register the Herbal medicinal product.  </w:t>
      </w:r>
    </w:p>
    <w:p w:rsidR="00EF0C65" w:rsidRDefault="000406CC">
      <w:pPr>
        <w:spacing w:after="222" w:line="259" w:lineRule="auto"/>
        <w:ind w:left="1034" w:right="0" w:firstLine="0"/>
        <w:jc w:val="left"/>
      </w:pPr>
      <w:r>
        <w:t xml:space="preserve">  </w:t>
      </w:r>
    </w:p>
    <w:p w:rsidR="00EF0C65" w:rsidRDefault="000406CC">
      <w:pPr>
        <w:numPr>
          <w:ilvl w:val="0"/>
          <w:numId w:val="11"/>
        </w:numPr>
        <w:ind w:right="808" w:hanging="833"/>
      </w:pPr>
      <w:r>
        <w:t>may request the applicant to satisfy the Authority that he has the resources and facility t</w:t>
      </w:r>
      <w:r>
        <w:t xml:space="preserve">o execute an effective recall of the product if the need arises.  </w:t>
      </w:r>
    </w:p>
    <w:p w:rsidR="00EF0C65" w:rsidRDefault="000406CC">
      <w:pPr>
        <w:spacing w:after="1" w:line="259" w:lineRule="auto"/>
        <w:ind w:left="314" w:right="0" w:firstLine="0"/>
        <w:jc w:val="left"/>
      </w:pPr>
      <w:r>
        <w:t xml:space="preserve">  </w:t>
      </w:r>
    </w:p>
    <w:p w:rsidR="00EF0C65" w:rsidRDefault="000406CC">
      <w:pPr>
        <w:numPr>
          <w:ilvl w:val="0"/>
          <w:numId w:val="11"/>
        </w:numPr>
        <w:ind w:right="808" w:hanging="833"/>
      </w:pPr>
      <w:r>
        <w:t>Where the Authority is satisfied that there is the need to register a drug, and all requirements for its registration have been satisfied, it shall issue to the applicant a certificate o</w:t>
      </w:r>
      <w:r>
        <w:t xml:space="preserve">f registration, subject to such conditions as may be prescribed by the Authority from time to time.  </w:t>
      </w:r>
    </w:p>
    <w:p w:rsidR="00EF0C65" w:rsidRDefault="000406CC">
      <w:pPr>
        <w:spacing w:after="1" w:line="259" w:lineRule="auto"/>
        <w:ind w:left="314" w:right="0" w:firstLine="0"/>
        <w:jc w:val="left"/>
      </w:pPr>
      <w:r>
        <w:t xml:space="preserve">  </w:t>
      </w:r>
    </w:p>
    <w:p w:rsidR="00EF0C65" w:rsidRDefault="000406CC">
      <w:pPr>
        <w:numPr>
          <w:ilvl w:val="0"/>
          <w:numId w:val="11"/>
        </w:numPr>
        <w:ind w:right="808" w:hanging="833"/>
      </w:pPr>
      <w:r>
        <w:t xml:space="preserve">The registration of a Herbal medicinal product under these regulations, unless otherwise revoked, shall be valid for a period of 3 (three) years and may be renewed.  </w:t>
      </w:r>
    </w:p>
    <w:p w:rsidR="00EF0C65" w:rsidRDefault="000406CC">
      <w:pPr>
        <w:spacing w:after="1" w:line="259" w:lineRule="auto"/>
        <w:ind w:left="314" w:right="0" w:firstLine="0"/>
        <w:jc w:val="left"/>
      </w:pPr>
      <w:r>
        <w:t xml:space="preserve">  </w:t>
      </w:r>
    </w:p>
    <w:p w:rsidR="00EF0C65" w:rsidRDefault="000406CC">
      <w:pPr>
        <w:numPr>
          <w:ilvl w:val="0"/>
          <w:numId w:val="11"/>
        </w:numPr>
        <w:ind w:right="808" w:hanging="833"/>
      </w:pPr>
      <w:r>
        <w:t xml:space="preserve">The Authority shall, from time to time, publish a notice in the Gazette notifying the </w:t>
      </w:r>
      <w:r>
        <w:t xml:space="preserve">registration of drugs under these regulations.  </w:t>
      </w:r>
    </w:p>
    <w:p w:rsidR="00EF0C65" w:rsidRDefault="000406CC">
      <w:pPr>
        <w:spacing w:after="1" w:line="259" w:lineRule="auto"/>
        <w:ind w:left="314" w:right="0" w:firstLine="0"/>
        <w:jc w:val="left"/>
      </w:pPr>
      <w:r>
        <w:t xml:space="preserve">  </w:t>
      </w:r>
    </w:p>
    <w:p w:rsidR="00EF0C65" w:rsidRDefault="000406CC">
      <w:pPr>
        <w:numPr>
          <w:ilvl w:val="0"/>
          <w:numId w:val="11"/>
        </w:numPr>
        <w:ind w:right="808" w:hanging="833"/>
      </w:pPr>
      <w:r>
        <w:t xml:space="preserve">No person shall disclose any information supplied to the Authority in pursuance of these Regulations, except under the following conditions:  </w:t>
      </w:r>
    </w:p>
    <w:p w:rsidR="00EF0C65" w:rsidRDefault="000406CC">
      <w:pPr>
        <w:spacing w:after="1" w:line="259" w:lineRule="auto"/>
        <w:ind w:left="314" w:right="0" w:firstLine="0"/>
        <w:jc w:val="left"/>
      </w:pPr>
      <w:r>
        <w:t xml:space="preserve">  </w:t>
      </w:r>
    </w:p>
    <w:p w:rsidR="00EF0C65" w:rsidRDefault="000406CC">
      <w:pPr>
        <w:numPr>
          <w:ilvl w:val="1"/>
          <w:numId w:val="11"/>
        </w:numPr>
        <w:ind w:right="808" w:hanging="420"/>
      </w:pPr>
      <w:r>
        <w:t>With the written consent of the person who supplied the in</w:t>
      </w:r>
      <w:r>
        <w:t xml:space="preserve">formation; or  </w:t>
      </w:r>
    </w:p>
    <w:p w:rsidR="00EF0C65" w:rsidRDefault="000406CC">
      <w:pPr>
        <w:spacing w:after="1" w:line="259" w:lineRule="auto"/>
        <w:ind w:left="1394" w:right="0" w:firstLine="0"/>
        <w:jc w:val="left"/>
      </w:pPr>
      <w:r>
        <w:t xml:space="preserve">  </w:t>
      </w:r>
    </w:p>
    <w:p w:rsidR="00EF0C65" w:rsidRDefault="000406CC">
      <w:pPr>
        <w:numPr>
          <w:ilvl w:val="1"/>
          <w:numId w:val="11"/>
        </w:numPr>
        <w:ind w:right="808" w:hanging="420"/>
      </w:pPr>
      <w:r>
        <w:t xml:space="preserve">In accordance with the directive of the Authority; or  </w:t>
      </w:r>
    </w:p>
    <w:p w:rsidR="00EF0C65" w:rsidRDefault="000406CC">
      <w:pPr>
        <w:spacing w:after="17" w:line="259" w:lineRule="auto"/>
        <w:ind w:left="1034" w:right="0" w:firstLine="0"/>
        <w:jc w:val="left"/>
      </w:pPr>
      <w:r>
        <w:t xml:space="preserve">  </w:t>
      </w:r>
    </w:p>
    <w:p w:rsidR="00EF0C65" w:rsidRDefault="000406CC">
      <w:pPr>
        <w:numPr>
          <w:ilvl w:val="1"/>
          <w:numId w:val="11"/>
        </w:numPr>
        <w:ind w:right="808" w:hanging="420"/>
      </w:pPr>
      <w:r>
        <w:t xml:space="preserve">For the purpose of a legal process under the Public Health Act, 2012 (Act 851)                 </w:t>
      </w:r>
    </w:p>
    <w:p w:rsidR="00EF0C65" w:rsidRDefault="000406CC">
      <w:pPr>
        <w:spacing w:after="0" w:line="259" w:lineRule="auto"/>
        <w:ind w:left="314" w:right="0" w:firstLine="0"/>
        <w:jc w:val="left"/>
      </w:pPr>
      <w:r>
        <w:t xml:space="preserve">  </w:t>
      </w:r>
    </w:p>
    <w:p w:rsidR="00EF0C65" w:rsidRDefault="000406CC">
      <w:pPr>
        <w:spacing w:after="1" w:line="259" w:lineRule="auto"/>
        <w:ind w:left="314" w:right="0" w:firstLine="0"/>
        <w:jc w:val="left"/>
      </w:pPr>
      <w:r>
        <w:t xml:space="preserve">  </w:t>
      </w:r>
    </w:p>
    <w:p w:rsidR="00EF0C65" w:rsidRDefault="000406CC">
      <w:pPr>
        <w:ind w:left="645" w:right="808" w:hanging="360"/>
      </w:pPr>
      <w:r>
        <w:rPr>
          <w:b/>
        </w:rPr>
        <w:t>5.</w:t>
      </w:r>
      <w:r>
        <w:rPr>
          <w:rFonts w:ascii="Arial" w:eastAsia="Arial" w:hAnsi="Arial" w:cs="Arial"/>
          <w:b/>
        </w:rPr>
        <w:t xml:space="preserve"> </w:t>
      </w:r>
      <w:r>
        <w:rPr>
          <w:b/>
        </w:rPr>
        <w:t>The Authority</w:t>
      </w:r>
      <w:r>
        <w:t xml:space="preserve"> </w:t>
      </w:r>
      <w:r>
        <w:t xml:space="preserve">may cancel, suspend or withdraw the registration of herbal medicinal product if:  </w:t>
      </w:r>
    </w:p>
    <w:p w:rsidR="00EF0C65" w:rsidRDefault="000406CC">
      <w:pPr>
        <w:spacing w:after="1" w:line="259" w:lineRule="auto"/>
        <w:ind w:left="314" w:right="0" w:firstLine="0"/>
        <w:jc w:val="left"/>
      </w:pPr>
      <w:r>
        <w:t xml:space="preserve">  </w:t>
      </w:r>
    </w:p>
    <w:p w:rsidR="00EF0C65" w:rsidRDefault="000406CC">
      <w:pPr>
        <w:numPr>
          <w:ilvl w:val="0"/>
          <w:numId w:val="12"/>
        </w:numPr>
        <w:ind w:right="808" w:hanging="360"/>
      </w:pPr>
      <w:r>
        <w:t xml:space="preserve">The grounds on which the drug was registered is later found to be false  </w:t>
      </w:r>
    </w:p>
    <w:p w:rsidR="00EF0C65" w:rsidRDefault="000406CC">
      <w:pPr>
        <w:spacing w:after="1" w:line="259" w:lineRule="auto"/>
        <w:ind w:left="1034" w:right="0" w:firstLine="0"/>
        <w:jc w:val="left"/>
      </w:pPr>
      <w:r>
        <w:t xml:space="preserve">  </w:t>
      </w:r>
    </w:p>
    <w:p w:rsidR="00EF0C65" w:rsidRDefault="000406CC">
      <w:pPr>
        <w:numPr>
          <w:ilvl w:val="0"/>
          <w:numId w:val="12"/>
        </w:numPr>
        <w:ind w:right="808" w:hanging="360"/>
      </w:pPr>
      <w:r>
        <w:lastRenderedPageBreak/>
        <w:t xml:space="preserve">The circumstances under which the herbal medicinal product was registered no longer exist  </w:t>
      </w:r>
    </w:p>
    <w:p w:rsidR="00EF0C65" w:rsidRDefault="000406CC">
      <w:pPr>
        <w:numPr>
          <w:ilvl w:val="0"/>
          <w:numId w:val="12"/>
        </w:numPr>
        <w:ind w:right="808" w:hanging="360"/>
      </w:pPr>
      <w:r>
        <w:t>A</w:t>
      </w:r>
      <w:r>
        <w:t xml:space="preserve">ny of the provisions under which the drug was registered has been contravened  </w:t>
      </w:r>
    </w:p>
    <w:p w:rsidR="00EF0C65" w:rsidRDefault="000406CC">
      <w:pPr>
        <w:spacing w:after="0" w:line="259" w:lineRule="auto"/>
        <w:ind w:left="1034" w:right="0" w:firstLine="0"/>
        <w:jc w:val="left"/>
      </w:pPr>
      <w:r>
        <w:t xml:space="preserve">  </w:t>
      </w:r>
    </w:p>
    <w:p w:rsidR="00EF0C65" w:rsidRDefault="000406CC">
      <w:pPr>
        <w:numPr>
          <w:ilvl w:val="0"/>
          <w:numId w:val="12"/>
        </w:numPr>
        <w:ind w:right="808" w:hanging="360"/>
      </w:pPr>
      <w:r>
        <w:t xml:space="preserve">The standard of quality, safety and efficacy, as prescribed in the documentation for registration, is not being complied with  </w:t>
      </w:r>
    </w:p>
    <w:p w:rsidR="00EF0C65" w:rsidRDefault="000406CC">
      <w:pPr>
        <w:spacing w:after="17" w:line="259" w:lineRule="auto"/>
        <w:ind w:left="1034" w:right="0" w:firstLine="0"/>
        <w:jc w:val="left"/>
      </w:pPr>
      <w:r>
        <w:t xml:space="preserve">  </w:t>
      </w:r>
    </w:p>
    <w:p w:rsidR="00EF0C65" w:rsidRDefault="000406CC">
      <w:pPr>
        <w:numPr>
          <w:ilvl w:val="0"/>
          <w:numId w:val="12"/>
        </w:numPr>
        <w:ind w:right="808" w:hanging="360"/>
      </w:pPr>
      <w:r>
        <w:t xml:space="preserve">The premises in which the herbal medicinal product, or part thereof, is manufactured, packaged or stored by, or on behalf of, the holder of the certificate of registration are unsuitable for the manufacture, packaging or storage of the Product.  </w:t>
      </w:r>
    </w:p>
    <w:p w:rsidR="00EF0C65" w:rsidRDefault="000406CC">
      <w:pPr>
        <w:spacing w:after="14" w:line="259" w:lineRule="auto"/>
        <w:ind w:left="1034" w:right="0" w:firstLine="0"/>
        <w:jc w:val="left"/>
      </w:pPr>
      <w:r>
        <w:t xml:space="preserve">  </w:t>
      </w:r>
    </w:p>
    <w:p w:rsidR="00EF0C65" w:rsidRDefault="000406CC">
      <w:pPr>
        <w:spacing w:after="1" w:line="259" w:lineRule="auto"/>
        <w:ind w:left="1034" w:right="0" w:firstLine="0"/>
        <w:jc w:val="left"/>
      </w:pPr>
      <w:r>
        <w:t xml:space="preserve">  </w:t>
      </w:r>
    </w:p>
    <w:p w:rsidR="00EF0C65" w:rsidRDefault="000406CC">
      <w:pPr>
        <w:numPr>
          <w:ilvl w:val="0"/>
          <w:numId w:val="12"/>
        </w:numPr>
        <w:ind w:right="808" w:hanging="360"/>
      </w:pPr>
      <w:r>
        <w:t>Whe</w:t>
      </w:r>
      <w:r>
        <w:t>re the registration of a Product is suspended, withdrawn or cancelled, the Authority shall cause the withdrawal from circulation of that Herbal medicinal product and shall, accordingly, cause the suspension, cancellation or withdrawal to be published in th</w:t>
      </w:r>
      <w:r>
        <w:t xml:space="preserve">e </w:t>
      </w:r>
      <w:proofErr w:type="spellStart"/>
      <w:r>
        <w:t>Gazzette</w:t>
      </w:r>
      <w:proofErr w:type="spellEnd"/>
      <w:r>
        <w:t xml:space="preserve">.  </w:t>
      </w:r>
    </w:p>
    <w:p w:rsidR="00EF0C65" w:rsidRDefault="000406CC">
      <w:pPr>
        <w:spacing w:after="4" w:line="259" w:lineRule="auto"/>
        <w:ind w:left="314" w:right="0" w:firstLine="0"/>
        <w:jc w:val="left"/>
      </w:pPr>
      <w:r>
        <w:t xml:space="preserve">  </w:t>
      </w:r>
    </w:p>
    <w:p w:rsidR="00EF0C65" w:rsidRDefault="000406CC">
      <w:pPr>
        <w:numPr>
          <w:ilvl w:val="0"/>
          <w:numId w:val="12"/>
        </w:numPr>
        <w:ind w:right="808" w:hanging="360"/>
      </w:pPr>
      <w:r>
        <w:t>Where a Product registration is suspended, withdrawn, or cancelled, an appeal for the review of an application can be made in writing to the Authority, and this shall be accompanied with an application fee, as may be determined by the Authority from time t</w:t>
      </w:r>
      <w:r>
        <w:t xml:space="preserve">o time.  </w:t>
      </w:r>
    </w:p>
    <w:sectPr w:rsidR="00EF0C65">
      <w:footerReference w:type="even" r:id="rId8"/>
      <w:footerReference w:type="default" r:id="rId9"/>
      <w:footerReference w:type="first" r:id="rId10"/>
      <w:pgSz w:w="11909" w:h="16834"/>
      <w:pgMar w:top="1457" w:right="612" w:bottom="901" w:left="11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06CC" w:rsidRDefault="000406CC">
      <w:pPr>
        <w:spacing w:after="0" w:line="240" w:lineRule="auto"/>
      </w:pPr>
      <w:r>
        <w:separator/>
      </w:r>
    </w:p>
  </w:endnote>
  <w:endnote w:type="continuationSeparator" w:id="0">
    <w:p w:rsidR="000406CC" w:rsidRDefault="0004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0C65" w:rsidRDefault="000406CC">
    <w:pPr>
      <w:spacing w:after="245" w:line="259" w:lineRule="auto"/>
      <w:ind w:left="0" w:right="82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9</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EF0C65" w:rsidRDefault="000406CC">
    <w:pPr>
      <w:spacing w:after="0" w:line="259" w:lineRule="auto"/>
      <w:ind w:left="314"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0C65" w:rsidRDefault="000406CC">
    <w:pPr>
      <w:spacing w:after="245" w:line="259" w:lineRule="auto"/>
      <w:ind w:left="0" w:right="82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9</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EF0C65" w:rsidRDefault="000406CC">
    <w:pPr>
      <w:spacing w:after="0" w:line="259" w:lineRule="auto"/>
      <w:ind w:left="314"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0C65" w:rsidRDefault="00EF0C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06CC" w:rsidRDefault="000406CC">
      <w:pPr>
        <w:spacing w:after="0" w:line="240" w:lineRule="auto"/>
      </w:pPr>
      <w:r>
        <w:separator/>
      </w:r>
    </w:p>
  </w:footnote>
  <w:footnote w:type="continuationSeparator" w:id="0">
    <w:p w:rsidR="000406CC" w:rsidRDefault="00040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1E88"/>
    <w:multiLevelType w:val="hybridMultilevel"/>
    <w:tmpl w:val="ED70A2F6"/>
    <w:lvl w:ilvl="0" w:tplc="4358D424">
      <w:start w:val="1"/>
      <w:numFmt w:val="lowerLetter"/>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EB30C">
      <w:start w:val="1"/>
      <w:numFmt w:val="upperRoman"/>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6676">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C5B2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6088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CE5F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8D57E">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A469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AEFC2">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06142A"/>
    <w:multiLevelType w:val="hybridMultilevel"/>
    <w:tmpl w:val="710C3EFA"/>
    <w:lvl w:ilvl="0" w:tplc="5160434A">
      <w:start w:val="1"/>
      <w:numFmt w:val="lowerLetter"/>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40C22">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63E60">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204FA">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E65DC">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03E4E">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CAA4C">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4EECA">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29FBE">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3515B9"/>
    <w:multiLevelType w:val="hybridMultilevel"/>
    <w:tmpl w:val="0F2AFD52"/>
    <w:lvl w:ilvl="0" w:tplc="C082DEA8">
      <w:start w:val="1"/>
      <w:numFmt w:val="upperRoman"/>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0A564">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6F204">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EB05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F8C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281E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8CF7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43C4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68EC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9E4EF2"/>
    <w:multiLevelType w:val="hybridMultilevel"/>
    <w:tmpl w:val="CDC80644"/>
    <w:lvl w:ilvl="0" w:tplc="C7DE2D38">
      <w:start w:val="1"/>
      <w:numFmt w:val="lowerLetter"/>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E3DA6">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2E020">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CC0F4">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4C66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E12CA">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C0DBC">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61708">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4E252">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F10E4C"/>
    <w:multiLevelType w:val="hybridMultilevel"/>
    <w:tmpl w:val="4372CE92"/>
    <w:lvl w:ilvl="0" w:tplc="3B44333A">
      <w:start w:val="1"/>
      <w:numFmt w:val="lowerLetter"/>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491D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6207C">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8144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2726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4478E">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60A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2C6A2">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67C56">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991B90"/>
    <w:multiLevelType w:val="hybridMultilevel"/>
    <w:tmpl w:val="177C72CC"/>
    <w:lvl w:ilvl="0" w:tplc="7D5CB00A">
      <w:start w:val="4"/>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018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C1D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05C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A3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4F5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0B3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232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C47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7356D7"/>
    <w:multiLevelType w:val="hybridMultilevel"/>
    <w:tmpl w:val="73667D86"/>
    <w:lvl w:ilvl="0" w:tplc="DB0C02AC">
      <w:start w:val="1"/>
      <w:numFmt w:val="bullet"/>
      <w:lvlText w:val="•"/>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8BF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56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A92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AC1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611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95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A0C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EC2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3B665E"/>
    <w:multiLevelType w:val="hybridMultilevel"/>
    <w:tmpl w:val="E1145792"/>
    <w:lvl w:ilvl="0" w:tplc="D1ECFBF2">
      <w:start w:val="1"/>
      <w:numFmt w:val="lowerLetter"/>
      <w:lvlText w:val="%1)"/>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CE1A2">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494DA">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E9222">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C4D18">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2B22">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2A554">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45988">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6AEB4">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FE3765"/>
    <w:multiLevelType w:val="hybridMultilevel"/>
    <w:tmpl w:val="94C24FB2"/>
    <w:lvl w:ilvl="0" w:tplc="EAD816EE">
      <w:start w:val="1"/>
      <w:numFmt w:val="upp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BED6">
      <w:start w:val="1"/>
      <w:numFmt w:val="lowerRoman"/>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8CBD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6783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6978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8D73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029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E0CE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8434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791A49"/>
    <w:multiLevelType w:val="hybridMultilevel"/>
    <w:tmpl w:val="2C9242D6"/>
    <w:lvl w:ilvl="0" w:tplc="9B686942">
      <w:start w:val="1"/>
      <w:numFmt w:val="upperRoman"/>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29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8FC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00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61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4C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6D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E5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AE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A10F17"/>
    <w:multiLevelType w:val="hybridMultilevel"/>
    <w:tmpl w:val="3858FB0A"/>
    <w:lvl w:ilvl="0" w:tplc="4D9246C4">
      <w:start w:val="1"/>
      <w:numFmt w:val="lowerLetter"/>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8F918">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CC18A">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0DF32">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42E1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CA8B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24CB8">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0EF6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8D5DA">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366518"/>
    <w:multiLevelType w:val="hybridMultilevel"/>
    <w:tmpl w:val="2F8C5AF2"/>
    <w:lvl w:ilvl="0" w:tplc="8DD219FA">
      <w:start w:val="1"/>
      <w:numFmt w:val="upperRoman"/>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4FDC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D4D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EEBC2">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64F1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6DC8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517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9C46">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CDD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3"/>
  </w:num>
  <w:num w:numId="6">
    <w:abstractNumId w:val="11"/>
  </w:num>
  <w:num w:numId="7">
    <w:abstractNumId w:val="10"/>
  </w:num>
  <w:num w:numId="8">
    <w:abstractNumId w:val="7"/>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65"/>
    <w:rsid w:val="000406CC"/>
    <w:rsid w:val="00E169D8"/>
    <w:rsid w:val="00EF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66C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right="10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0"/>
      <w:ind w:left="310"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0"/>
      <w:ind w:left="310"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6"/>
    </w:rPr>
  </w:style>
  <w:style w:type="paragraph" w:styleId="TOC1">
    <w:name w:val="toc 1"/>
    <w:hidden/>
    <w:pPr>
      <w:spacing w:after="268" w:line="256" w:lineRule="auto"/>
      <w:ind w:left="716" w:right="161" w:hanging="10"/>
      <w:jc w:val="both"/>
    </w:pPr>
    <w:rPr>
      <w:rFonts w:ascii="Times New Roman" w:eastAsia="Times New Roman" w:hAnsi="Times New Roman" w:cs="Times New Roman"/>
      <w:color w:val="000000"/>
      <w:sz w:val="24"/>
    </w:rPr>
  </w:style>
  <w:style w:type="paragraph" w:styleId="TOC2">
    <w:name w:val="toc 2"/>
    <w:hidden/>
    <w:pPr>
      <w:spacing w:after="268"/>
      <w:ind w:left="1061" w:right="176" w:hanging="10"/>
      <w:jc w:val="right"/>
    </w:pPr>
    <w:rPr>
      <w:rFonts w:ascii="Times New Roman" w:eastAsia="Times New Roman" w:hAnsi="Times New Roman" w:cs="Times New Roman"/>
      <w:color w:val="000000"/>
      <w:sz w:val="24"/>
    </w:rPr>
  </w:style>
  <w:style w:type="paragraph" w:styleId="TOC3">
    <w:name w:val="toc 3"/>
    <w:hidden/>
    <w:pPr>
      <w:spacing w:after="268"/>
      <w:ind w:left="1061" w:right="176"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FDB-HERBAL</dc:creator>
  <cp:keywords/>
  <cp:lastModifiedBy>samuel fahren otoo</cp:lastModifiedBy>
  <cp:revision>2</cp:revision>
  <dcterms:created xsi:type="dcterms:W3CDTF">2020-04-05T20:52:00Z</dcterms:created>
  <dcterms:modified xsi:type="dcterms:W3CDTF">2020-04-05T20:52:00Z</dcterms:modified>
</cp:coreProperties>
</file>